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сельского хозяйства и продовольственных ресурсов Нижегородской области от 04.08.2023 N 220</w:t>
              <w:br/>
              <w:t xml:space="preserve">(ред. от 17.12.2024)</w:t>
              <w:br/>
              <w:t xml:space="preserve">"Об утверждении Порядка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w:t>
              <w:br/>
              <w:t xml:space="preserve">(Включен в Реестр нормативных актов органов исполнительной власти Нижегородской области 28.08.2023 N 23578-302-220)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30.09.2025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Включен в Реестр нормативных актов органов исполнительной власти Нижегородской области 28 августа 2023 года N 23578-302-220</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СЕЛЬСКОГО ХОЗЯЙСТВА И ПРОДОВОЛЬСТВЕННЫХ</w:t>
      </w:r>
    </w:p>
    <w:p>
      <w:pPr>
        <w:pStyle w:val="2"/>
        <w:jc w:val="center"/>
      </w:pPr>
      <w:r>
        <w:rPr>
          <w:sz w:val="20"/>
        </w:rPr>
        <w:t xml:space="preserve">РЕСУРСОВ НИЖЕГОРОДСКОЙ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августа 2023 г. N 220</w:t>
      </w:r>
    </w:p>
    <w:p>
      <w:pPr>
        <w:pStyle w:val="2"/>
        <w:ind w:firstLine="540"/>
        <w:jc w:val="both"/>
      </w:pPr>
      <w:r>
        <w:rPr>
          <w:sz w:val="20"/>
        </w:rPr>
      </w:r>
    </w:p>
    <w:p>
      <w:pPr>
        <w:pStyle w:val="2"/>
        <w:jc w:val="center"/>
      </w:pPr>
      <w:r>
        <w:rPr>
          <w:sz w:val="20"/>
        </w:rPr>
        <w:t xml:space="preserve">ОБ УТВЕРЖДЕНИИ ПОРЯДКА ПРЕДОСТАВЛЕНИЯ ИЗ ОБЛАСТНОГО БЮДЖЕТА</w:t>
      </w:r>
    </w:p>
    <w:p>
      <w:pPr>
        <w:pStyle w:val="2"/>
        <w:jc w:val="center"/>
      </w:pPr>
      <w:r>
        <w:rPr>
          <w:sz w:val="20"/>
        </w:rPr>
        <w:t xml:space="preserve">СУБСИДИИ НА ОКАЗАНИЕ ГОСУДАРСТВЕННОЙ ПОДДЕРЖКИ</w:t>
      </w:r>
    </w:p>
    <w:p>
      <w:pPr>
        <w:pStyle w:val="2"/>
        <w:jc w:val="center"/>
      </w:pPr>
      <w:r>
        <w:rPr>
          <w:sz w:val="20"/>
        </w:rPr>
        <w:t xml:space="preserve">СЕЛЬСКОХОЗЯЙСТВЕННОГО ПРОИЗВОДСТВА НА ВОЗМЕЩЕНИЕ</w:t>
      </w:r>
    </w:p>
    <w:p>
      <w:pPr>
        <w:pStyle w:val="2"/>
        <w:jc w:val="center"/>
      </w:pPr>
      <w:r>
        <w:rPr>
          <w:sz w:val="20"/>
        </w:rPr>
        <w:t xml:space="preserve">ЧАСТИ ЗАТРАТ НА РАЗВИТИЕ МОЛОЧНОГО СКОТОВОДСТВА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истерства сельского хозяйства и продовольственных ресурсов Нижегородской области от 17.12.2024 N 534 &quot;О внесении изменений в приказ министерства сельского хозяйства и продовольственных ресурсов Нижегородской области от 4 августа 2023 г. N 220&quot; (вместе с &quot;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quot;) (Включен в Реестр нормативных актов органов исполнитель {КонсультантПлюс}">
              <w:r>
                <w:rPr>
                  <w:sz w:val="20"/>
                  <w:color w:val="0000ff"/>
                </w:rPr>
                <w:t xml:space="preserve">приказа</w:t>
              </w:r>
            </w:hyperlink>
            <w:r>
              <w:rPr>
                <w:sz w:val="20"/>
                <w:color w:val="392c69"/>
              </w:rPr>
              <w:t xml:space="preserve"> министерства сельского хозяйства и продовольственных</w:t>
            </w:r>
          </w:p>
          <w:p>
            <w:pPr>
              <w:pStyle w:val="0"/>
              <w:jc w:val="center"/>
            </w:pPr>
            <w:r>
              <w:rPr>
                <w:sz w:val="20"/>
                <w:color w:val="392c69"/>
              </w:rPr>
              <w:t xml:space="preserve">ресурсов Нижегородской области от 17.12.2024 N 534)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9" w:tooltip="&quot;Бюджетный кодекс Российской Федерации&quot; от 31.07.1998 N 145-ФЗ (ред. от 31.07.2025) {КонсультантПлюс}">
        <w:r>
          <w:rPr>
            <w:sz w:val="20"/>
            <w:color w:val="0000ff"/>
          </w:rPr>
          <w:t xml:space="preserve">пунктом 2 статьи 78</w:t>
        </w:r>
      </w:hyperlink>
      <w:r>
        <w:rPr>
          <w:sz w:val="20"/>
        </w:rPr>
        <w:t xml:space="preserve"> Бюджетного кодекса Российской Федерации, </w:t>
      </w:r>
      <w:hyperlink w:history="0" r:id="rId10" w:tooltip="Постановление Правительства Нижегородской области от 20.12.2022 N 1093 &quot;Об определении уполномоченного органа исполнительной власти Нижегородской области&quot; {КонсультантПлюс}">
        <w:r>
          <w:rPr>
            <w:sz w:val="20"/>
            <w:color w:val="0000ff"/>
          </w:rPr>
          <w:t xml:space="preserve">постановлением</w:t>
        </w:r>
      </w:hyperlink>
      <w:r>
        <w:rPr>
          <w:sz w:val="20"/>
        </w:rPr>
        <w:t xml:space="preserve"> Правительства Нижегородской области от 20 декабря 2022 г. N 1093 "Об определении уполномоченного органа исполнительной власти Нижегородской области" приказываю:</w:t>
      </w:r>
    </w:p>
    <w:p>
      <w:pPr>
        <w:pStyle w:val="0"/>
        <w:spacing w:before="200" w:lineRule="auto"/>
        <w:ind w:firstLine="540"/>
        <w:jc w:val="both"/>
      </w:pPr>
      <w:r>
        <w:rPr>
          <w:sz w:val="20"/>
        </w:rPr>
        <w:t xml:space="preserve">1. Утвердить прилагаемый </w:t>
      </w:r>
      <w:hyperlink w:history="0" w:anchor="P36" w:tooltip="ПОРЯДОК">
        <w:r>
          <w:rPr>
            <w:sz w:val="20"/>
            <w:color w:val="0000ff"/>
          </w:rPr>
          <w:t xml:space="preserve">Порядок</w:t>
        </w:r>
      </w:hyperlink>
      <w:r>
        <w:rPr>
          <w:sz w:val="20"/>
        </w:rPr>
        <w:t xml:space="preserve">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w:t>
      </w:r>
    </w:p>
    <w:p>
      <w:pPr>
        <w:pStyle w:val="0"/>
        <w:jc w:val="both"/>
      </w:pPr>
      <w:r>
        <w:rPr>
          <w:sz w:val="20"/>
        </w:rPr>
        <w:t xml:space="preserve">(п. 1 в ред. </w:t>
      </w:r>
      <w:hyperlink w:history="0" r:id="rId11" w:tooltip="Приказ министерства сельского хозяйства и продовольственных ресурсов Нижегородской области от 17.12.2024 N 534 &quot;О внесении изменений в приказ министерства сельского хозяйства и продовольственных ресурсов Нижегородской области от 4 августа 2023 г. N 220&quot; (вместе с &quot;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quot;) (Включен в Реестр нормативных актов органов исполнитель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17.12.2024 N 534)</w:t>
      </w:r>
    </w:p>
    <w:p>
      <w:pPr>
        <w:pStyle w:val="0"/>
        <w:spacing w:before="200" w:lineRule="auto"/>
        <w:ind w:firstLine="540"/>
        <w:jc w:val="both"/>
      </w:pPr>
      <w:r>
        <w:rPr>
          <w:sz w:val="20"/>
        </w:rPr>
        <w:t xml:space="preserve">2. Настоящий приказ вступает в силу с 1 сентября 2023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Н.К.ДЕНИСОВ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сельского хозяйства</w:t>
      </w:r>
    </w:p>
    <w:p>
      <w:pPr>
        <w:pStyle w:val="0"/>
        <w:jc w:val="right"/>
      </w:pPr>
      <w:r>
        <w:rPr>
          <w:sz w:val="20"/>
        </w:rPr>
        <w:t xml:space="preserve">и продовольственных ресурсов</w:t>
      </w:r>
    </w:p>
    <w:p>
      <w:pPr>
        <w:pStyle w:val="0"/>
        <w:jc w:val="right"/>
      </w:pPr>
      <w:r>
        <w:rPr>
          <w:sz w:val="20"/>
        </w:rPr>
        <w:t xml:space="preserve">Нижегородской области</w:t>
      </w:r>
    </w:p>
    <w:p>
      <w:pPr>
        <w:pStyle w:val="0"/>
        <w:jc w:val="right"/>
      </w:pPr>
      <w:r>
        <w:rPr>
          <w:sz w:val="20"/>
        </w:rPr>
        <w:t xml:space="preserve">от 04.08.2023 N 220</w:t>
      </w:r>
    </w:p>
    <w:p>
      <w:pPr>
        <w:pStyle w:val="0"/>
        <w:ind w:firstLine="540"/>
        <w:jc w:val="both"/>
      </w:pPr>
      <w:r>
        <w:rPr>
          <w:sz w:val="20"/>
        </w:rPr>
      </w:r>
    </w:p>
    <w:bookmarkStart w:id="36" w:name="P36"/>
    <w:bookmarkEnd w:id="36"/>
    <w:p>
      <w:pPr>
        <w:pStyle w:val="2"/>
        <w:jc w:val="center"/>
      </w:pPr>
      <w:r>
        <w:rPr>
          <w:sz w:val="20"/>
        </w:rPr>
        <w:t xml:space="preserve">ПОРЯДОК</w:t>
      </w:r>
    </w:p>
    <w:p>
      <w:pPr>
        <w:pStyle w:val="2"/>
        <w:jc w:val="center"/>
      </w:pPr>
      <w:r>
        <w:rPr>
          <w:sz w:val="20"/>
        </w:rPr>
        <w:t xml:space="preserve">ПРЕДОСТАВЛЕНИЯ ИЗ ОБЛАСТНОГО БЮДЖЕТА СУБСИДИИ НА ОКАЗАНИЕ</w:t>
      </w:r>
    </w:p>
    <w:p>
      <w:pPr>
        <w:pStyle w:val="2"/>
        <w:jc w:val="center"/>
      </w:pPr>
      <w:r>
        <w:rPr>
          <w:sz w:val="20"/>
        </w:rPr>
        <w:t xml:space="preserve">ГОСУДАРСТВЕННОЙ ПОДДЕРЖКИ СЕЛЬСКОХОЗЯЙСТВЕННОГО ПРОИЗВОДСТВА</w:t>
      </w:r>
    </w:p>
    <w:p>
      <w:pPr>
        <w:pStyle w:val="2"/>
        <w:jc w:val="center"/>
      </w:pPr>
      <w:r>
        <w:rPr>
          <w:sz w:val="20"/>
        </w:rPr>
        <w:t xml:space="preserve">НА ВОЗМЕЩЕНИЕ ЧАСТИ ЗАТРАТ НА РАЗВИТИЕ</w:t>
      </w:r>
    </w:p>
    <w:p>
      <w:pPr>
        <w:pStyle w:val="2"/>
        <w:jc w:val="center"/>
      </w:pPr>
      <w:r>
        <w:rPr>
          <w:sz w:val="20"/>
        </w:rPr>
        <w:t xml:space="preserve">МОЛОЧНОГО СКОТОВОДСТВА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истерства сельского хозяйства и продовольственных ресурсов Нижегородской области от 17.12.2024 N 534 &quot;О внесении изменений в приказ министерства сельского хозяйства и продовольственных ресурсов Нижегородской области от 4 августа 2023 г. N 220&quot; (вместе с &quot;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quot;) (Включен в Реестр нормативных актов органов исполнитель {КонсультантПлюс}">
              <w:r>
                <w:rPr>
                  <w:sz w:val="20"/>
                  <w:color w:val="0000ff"/>
                </w:rPr>
                <w:t xml:space="preserve">приказа</w:t>
              </w:r>
            </w:hyperlink>
            <w:r>
              <w:rPr>
                <w:sz w:val="20"/>
                <w:color w:val="392c69"/>
              </w:rPr>
              <w:t xml:space="preserve"> министерства сельского хозяйства и продовольственных</w:t>
            </w:r>
          </w:p>
          <w:p>
            <w:pPr>
              <w:pStyle w:val="0"/>
              <w:jc w:val="center"/>
            </w:pPr>
            <w:r>
              <w:rPr>
                <w:sz w:val="20"/>
                <w:color w:val="392c69"/>
              </w:rPr>
              <w:t xml:space="preserve">ресурсов Нижегородской области от 17.12.2024 N 534)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Порядок разработан в соответствии с общими </w:t>
      </w:r>
      <w:hyperlink w:history="0" r:id="rId13"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требованиями</w:t>
        </w:r>
      </w:hyperlink>
      <w:r>
        <w:rPr>
          <w:sz w:val="2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N 1782, регулирует предоставление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 (далее - субсидия) и содержит общие положения о предоставлении субсидии, условия и порядок предоставления субсидии, а также требования к представлению отчетности, об осуществлении контроля за соблюдением условий и порядка предоставления субсидии и ответственности за их нарушение.</w:t>
      </w:r>
    </w:p>
    <w:p>
      <w:pPr>
        <w:pStyle w:val="0"/>
        <w:spacing w:before="200" w:lineRule="auto"/>
        <w:ind w:firstLine="540"/>
        <w:jc w:val="both"/>
      </w:pPr>
      <w:r>
        <w:rPr>
          <w:sz w:val="20"/>
        </w:rPr>
        <w:t xml:space="preserve">1.2. В целях настоящего Порядка используются следующие понятия:</w:t>
      </w:r>
    </w:p>
    <w:p>
      <w:pPr>
        <w:pStyle w:val="0"/>
        <w:spacing w:before="200" w:lineRule="auto"/>
        <w:ind w:firstLine="540"/>
        <w:jc w:val="both"/>
      </w:pPr>
      <w:r>
        <w:rPr>
          <w:sz w:val="20"/>
        </w:rPr>
        <w:t xml:space="preserve">1) строительство животноводческого объекта - строительство либо животноводческого комплекса (фермы) по производству молока, включающего в себя основные помещения (животноводческие помещения для содержания дойного стада крупного рогатого скота или мелкого рогатого скота, и (или) помещения для содержания сухостойных животных, в том числе родильные отделения, и (или) помещения для беспривязного содержания ремонтного молодняка крупного рогатого скота или мелкого рогатого скота) и вспомогательные производственные здания и сооружения, с инженерной инфраструктурой в соответствии с проектной документацией, либо животноводческого помещения для содержания дойного стада крупного рогатого скота или мелкого рогатого скота, и (или) помещения для содержания сухостойных коров, в том числе родильных отделений, и (или) помещения для беспривязного содержания ремонтного молодняка крупного рогатого скота;</w:t>
      </w:r>
    </w:p>
    <w:p>
      <w:pPr>
        <w:pStyle w:val="0"/>
        <w:spacing w:before="200" w:lineRule="auto"/>
        <w:ind w:firstLine="540"/>
        <w:jc w:val="both"/>
      </w:pPr>
      <w:r>
        <w:rPr>
          <w:sz w:val="20"/>
        </w:rPr>
        <w:t xml:space="preserve">2) реконструкция животноводческого объекта - реконструкция животноводческого помещения для содержания дойного стада крупного рогатого скота с заменой (установкой) или без замены (установки) доильного оборудования или для содержания дойного стада мелкого рогатого скота с заменой (установкой) доильного оборудования, и (или) помещения для содержания сухостойных животных, в том числе родильных отделений, и (или) помещения для беспривязного содержания ремонтного молодняка;</w:t>
      </w:r>
    </w:p>
    <w:p>
      <w:pPr>
        <w:pStyle w:val="0"/>
        <w:spacing w:before="200" w:lineRule="auto"/>
        <w:ind w:firstLine="540"/>
        <w:jc w:val="both"/>
      </w:pPr>
      <w:r>
        <w:rPr>
          <w:sz w:val="20"/>
        </w:rPr>
        <w:t xml:space="preserve">3) производственный процесс на животноводческом объекте:</w:t>
      </w:r>
    </w:p>
    <w:p>
      <w:pPr>
        <w:pStyle w:val="0"/>
        <w:spacing w:before="200" w:lineRule="auto"/>
        <w:ind w:firstLine="540"/>
        <w:jc w:val="both"/>
      </w:pPr>
      <w:r>
        <w:rPr>
          <w:sz w:val="20"/>
        </w:rPr>
        <w:t xml:space="preserve">- действующий технологический процесс производства молока и наличие у получателя на данном объекте поголовья собственного дойного стада крупного рогатого скота или мелкого рогатого скота в количестве не менее 50% от проектного числа ското-мест (для животноводческого объекта, предназначенного для содержания дойного стада крупного рогатого скота или мелкого рогатого скота);</w:t>
      </w:r>
    </w:p>
    <w:p>
      <w:pPr>
        <w:pStyle w:val="0"/>
        <w:spacing w:before="200" w:lineRule="auto"/>
        <w:ind w:firstLine="540"/>
        <w:jc w:val="both"/>
      </w:pPr>
      <w:r>
        <w:rPr>
          <w:sz w:val="20"/>
        </w:rPr>
        <w:t xml:space="preserve">- действующий технологический процесс в соответствии с назначением животноводческого помещения и технологией содержания животных (для животноводческого объекта, предназначенного для содержания сухостойных животных, в том числе для родильных отделений и помещений для выращивания ремонтного молодняка);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прямые понесенные затраты на строительство (реконструкцию) животноводческих объектов - фактически произведенные затраты (без учета налога на добавленную стоимость) по оплате строительства (реконструкции) животноводческих объектов и кредиторская задолженность по выполненным работам, подтвержденные актом выполненных работ по форме КС-2, справкой о стоимости выполненных работ и затрат по форме КС-3;</w:t>
      </w:r>
    </w:p>
    <w:p>
      <w:pPr>
        <w:pStyle w:val="0"/>
        <w:spacing w:before="200" w:lineRule="auto"/>
        <w:ind w:firstLine="540"/>
        <w:jc w:val="both"/>
      </w:pPr>
      <w:r>
        <w:rPr>
          <w:sz w:val="20"/>
        </w:rPr>
        <w:t xml:space="preserve">6) субсидия на строительство - возмещение части прямых понесенных затрат на строительство животноводческих объектов;</w:t>
      </w:r>
    </w:p>
    <w:p>
      <w:pPr>
        <w:pStyle w:val="0"/>
        <w:spacing w:before="200" w:lineRule="auto"/>
        <w:ind w:firstLine="540"/>
        <w:jc w:val="both"/>
      </w:pPr>
      <w:r>
        <w:rPr>
          <w:sz w:val="20"/>
        </w:rPr>
        <w:t xml:space="preserve">7) субсидия на реконструкцию - возмещение части прямых понесенных затрат на реконструкцию животноводческих объектов.</w:t>
      </w:r>
    </w:p>
    <w:bookmarkStart w:id="59" w:name="P59"/>
    <w:bookmarkEnd w:id="59"/>
    <w:p>
      <w:pPr>
        <w:pStyle w:val="0"/>
        <w:spacing w:before="200" w:lineRule="auto"/>
        <w:ind w:firstLine="540"/>
        <w:jc w:val="both"/>
      </w:pPr>
      <w:r>
        <w:rPr>
          <w:sz w:val="20"/>
        </w:rPr>
        <w:t xml:space="preserve">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"Предотвращение заноса, распространения и ликвидация африканской чумы свиней на территории Нижегородской области", являющегося структурным элементом государственной </w:t>
      </w:r>
      <w:hyperlink w:history="0" r:id="rId14" w:tooltip="Постановление Правительства Нижегородской области от 28.04.2014 N 280 (ред. от 21.02.2024) &quot;Об утверждении государственной программы Нижегородской области &quot;Развитие агропромышленного комплекса Нижегородской области&quot; {КонсультантПлюс}">
        <w:r>
          <w:rPr>
            <w:sz w:val="20"/>
            <w:color w:val="0000ff"/>
          </w:rPr>
          <w:t xml:space="preserve">программы</w:t>
        </w:r>
      </w:hyperlink>
      <w:r>
        <w:rPr>
          <w:sz w:val="20"/>
        </w:rPr>
        <w:t xml:space="preserve"> "Развитие агропромышленного комплекса Нижегородской области", утвержденной постановлением Правительства Нижегородской области от 28 апреля 2014 г. N 280.</w:t>
      </w:r>
    </w:p>
    <w:p>
      <w:pPr>
        <w:pStyle w:val="0"/>
        <w:spacing w:before="200" w:lineRule="auto"/>
        <w:ind w:firstLine="540"/>
        <w:jc w:val="both"/>
      </w:pPr>
      <w:r>
        <w:rPr>
          <w:sz w:val="20"/>
        </w:rPr>
        <w:t xml:space="preserve">1.4. Субсидия предоставляется министерством сельского хозяйства и продовольственных ресурсов Нижегородской области (далее - Минсельхозпрод),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предоставление субсидии (далее - лимиты бюджетных обязательств на предоставление субсидии).</w:t>
      </w:r>
    </w:p>
    <w:p>
      <w:pPr>
        <w:pStyle w:val="0"/>
        <w:spacing w:before="200" w:lineRule="auto"/>
        <w:ind w:firstLine="540"/>
        <w:jc w:val="both"/>
      </w:pPr>
      <w:r>
        <w:rPr>
          <w:sz w:val="20"/>
        </w:rPr>
        <w:t xml:space="preserve">1.5. Получателями субсидии являются организации и крестьянское (фермерское) хозяйство, определенные Указом Губернатора Нижегородской области, по </w:t>
      </w:r>
      <w:hyperlink w:history="0" w:anchor="P245" w:tooltip="ПЕРЕЧЕНЬ">
        <w:r>
          <w:rPr>
            <w:sz w:val="20"/>
            <w:color w:val="0000ff"/>
          </w:rPr>
          <w:t xml:space="preserve">перечню</w:t>
        </w:r>
      </w:hyperlink>
      <w:r>
        <w:rPr>
          <w:sz w:val="20"/>
        </w:rPr>
        <w:t xml:space="preserve"> согласно приложению к настоящему Порядку (далее - получатели субсидии).</w:t>
      </w:r>
    </w:p>
    <w:bookmarkStart w:id="62" w:name="P62"/>
    <w:bookmarkEnd w:id="62"/>
    <w:p>
      <w:pPr>
        <w:pStyle w:val="0"/>
        <w:spacing w:before="200" w:lineRule="auto"/>
        <w:ind w:firstLine="540"/>
        <w:jc w:val="both"/>
      </w:pPr>
      <w:r>
        <w:rPr>
          <w:sz w:val="20"/>
        </w:rPr>
        <w:t xml:space="preserve">1.6. Способом предоставления субсидии является возмещение затрат.</w:t>
      </w:r>
    </w:p>
    <w:p>
      <w:pPr>
        <w:pStyle w:val="0"/>
        <w:spacing w:before="200" w:lineRule="auto"/>
        <w:ind w:firstLine="540"/>
        <w:jc w:val="both"/>
      </w:pPr>
      <w:r>
        <w:rPr>
          <w:sz w:val="20"/>
        </w:rPr>
        <w:t xml:space="preserve">К направлениям затрат, на возмещение которых предоставляется субсидия, относятся документально подтвержденные прямые понесенные затраты (без учета налога на добавленную стоимость):</w:t>
      </w:r>
    </w:p>
    <w:p>
      <w:pPr>
        <w:pStyle w:val="0"/>
        <w:spacing w:before="200" w:lineRule="auto"/>
        <w:ind w:firstLine="540"/>
        <w:jc w:val="both"/>
      </w:pPr>
      <w:r>
        <w:rPr>
          <w:sz w:val="20"/>
        </w:rPr>
        <w:t xml:space="preserve">на строительство животноводческих объектов;</w:t>
      </w:r>
    </w:p>
    <w:p>
      <w:pPr>
        <w:pStyle w:val="0"/>
        <w:spacing w:before="200" w:lineRule="auto"/>
        <w:ind w:firstLine="540"/>
        <w:jc w:val="both"/>
      </w:pPr>
      <w:r>
        <w:rPr>
          <w:sz w:val="20"/>
        </w:rPr>
        <w:t xml:space="preserve">на реконструкцию животноводческих объектов.</w:t>
      </w:r>
    </w:p>
    <w:p>
      <w:pPr>
        <w:pStyle w:val="0"/>
        <w:spacing w:before="200" w:lineRule="auto"/>
        <w:ind w:firstLine="540"/>
        <w:jc w:val="both"/>
      </w:pPr>
      <w:r>
        <w:rPr>
          <w:sz w:val="20"/>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ind w:firstLine="540"/>
        <w:jc w:val="both"/>
      </w:pPr>
      <w:r>
        <w:rPr>
          <w:sz w:val="20"/>
        </w:rPr>
      </w:r>
    </w:p>
    <w:p>
      <w:pPr>
        <w:pStyle w:val="2"/>
        <w:outlineLvl w:val="1"/>
        <w:jc w:val="center"/>
      </w:pPr>
      <w:r>
        <w:rPr>
          <w:sz w:val="20"/>
        </w:rPr>
        <w:t xml:space="preserve">2. Условия и порядок предоставления субсидии</w:t>
      </w:r>
    </w:p>
    <w:p>
      <w:pPr>
        <w:pStyle w:val="0"/>
        <w:ind w:firstLine="540"/>
        <w:jc w:val="both"/>
      </w:pPr>
      <w:r>
        <w:rPr>
          <w:sz w:val="20"/>
        </w:rPr>
      </w:r>
    </w:p>
    <w:p>
      <w:pPr>
        <w:pStyle w:val="0"/>
        <w:ind w:firstLine="540"/>
        <w:jc w:val="both"/>
      </w:pPr>
      <w:r>
        <w:rPr>
          <w:sz w:val="20"/>
        </w:rPr>
        <w:t xml:space="preserve">2.1. Условия предоставления субсидии получателю субсидии, соответствующему требованиям, установленным в </w:t>
      </w:r>
      <w:hyperlink w:history="0" w:anchor="P75"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w:t>
      </w:r>
    </w:p>
    <w:p>
      <w:pPr>
        <w:pStyle w:val="0"/>
        <w:spacing w:before="200" w:lineRule="auto"/>
        <w:ind w:firstLine="540"/>
        <w:jc w:val="both"/>
      </w:pPr>
      <w:r>
        <w:rPr>
          <w:sz w:val="20"/>
        </w:rPr>
        <w:t xml:space="preserve">1) заключение соглашения о предоставлении субсидии между Минсельхозпродом и получателем субсидии (далее - соглашение);</w:t>
      </w:r>
    </w:p>
    <w:bookmarkStart w:id="72" w:name="P72"/>
    <w:bookmarkEnd w:id="72"/>
    <w:p>
      <w:pPr>
        <w:pStyle w:val="0"/>
        <w:spacing w:before="200" w:lineRule="auto"/>
        <w:ind w:firstLine="540"/>
        <w:jc w:val="both"/>
      </w:pPr>
      <w:r>
        <w:rPr>
          <w:sz w:val="20"/>
        </w:rPr>
        <w:t xml:space="preserve">2) наличие у получателя субсидии затрат, на возмещение которых предоставляется субсидия, по направлениям, указанным в </w:t>
      </w:r>
      <w:hyperlink w:history="0" w:anchor="P62" w:tooltip="1.6. Способом предоставления субсидии является возмещение затрат.">
        <w:r>
          <w:rPr>
            <w:sz w:val="20"/>
            <w:color w:val="0000ff"/>
          </w:rPr>
          <w:t xml:space="preserve">пункте 1.6</w:t>
        </w:r>
      </w:hyperlink>
      <w:r>
        <w:rPr>
          <w:sz w:val="20"/>
        </w:rPr>
        <w:t xml:space="preserve"> настоящего Порядка;</w:t>
      </w:r>
    </w:p>
    <w:p>
      <w:pPr>
        <w:pStyle w:val="0"/>
        <w:spacing w:before="200" w:lineRule="auto"/>
        <w:ind w:firstLine="540"/>
        <w:jc w:val="both"/>
      </w:pPr>
      <w:r>
        <w:rPr>
          <w:sz w:val="20"/>
        </w:rPr>
        <w:t xml:space="preserve">3) согласие получателя субсидии на осуществление Минсельхозпродом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5"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16"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bookmarkStart w:id="74" w:name="P74"/>
    <w:bookmarkEnd w:id="74"/>
    <w:p>
      <w:pPr>
        <w:pStyle w:val="0"/>
        <w:spacing w:before="200" w:lineRule="auto"/>
        <w:ind w:firstLine="540"/>
        <w:jc w:val="both"/>
      </w:pPr>
      <w:r>
        <w:rPr>
          <w:sz w:val="20"/>
        </w:rPr>
        <w:t xml:space="preserve">4) выполнение получателем субсидии обязательств, установленных в соглашении о реализации мероприятий, направленных на развитие молочного скотоводства, предусмотренном </w:t>
      </w:r>
      <w:hyperlink w:history="0" w:anchor="P90" w:tooltip="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
        <w:r>
          <w:rPr>
            <w:sz w:val="20"/>
            <w:color w:val="0000ff"/>
          </w:rPr>
          <w:t xml:space="preserve">подпунктом "ж" подпункта 8 пункта 2.2</w:t>
        </w:r>
      </w:hyperlink>
      <w:r>
        <w:rPr>
          <w:sz w:val="20"/>
        </w:rPr>
        <w:t xml:space="preserve"> настоящего Порядка;</w:t>
      </w:r>
    </w:p>
    <w:bookmarkStart w:id="75" w:name="P75"/>
    <w:bookmarkEnd w:id="75"/>
    <w:p>
      <w:pPr>
        <w:pStyle w:val="0"/>
        <w:spacing w:before="200" w:lineRule="auto"/>
        <w:ind w:firstLine="540"/>
        <w:jc w:val="both"/>
      </w:pPr>
      <w:r>
        <w:rPr>
          <w:sz w:val="20"/>
        </w:rPr>
        <w:t xml:space="preserve">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w:t>
      </w:r>
      <w:hyperlink w:history="0" w:anchor="P91" w:tooltip="2.3. Для получения субсидии получатель субсидии в срок не позднее 30 числа месяца, следующего за отчетным кварталом (в 2024 году - в срок не позднее 20 декабря текущего года), представляет Минсельхозпроду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в информационно-телекоммуникационн...">
        <w:r>
          <w:rPr>
            <w:sz w:val="20"/>
            <w:color w:val="0000ff"/>
          </w:rPr>
          <w:t xml:space="preserve">пункте 2.3</w:t>
        </w:r>
      </w:hyperlink>
      <w:r>
        <w:rPr>
          <w:sz w:val="20"/>
        </w:rPr>
        <w:t xml:space="preserve"> настоящего Порядка:</w:t>
      </w:r>
    </w:p>
    <w:bookmarkStart w:id="76" w:name="P76"/>
    <w:bookmarkEnd w:id="76"/>
    <w:p>
      <w:pPr>
        <w:pStyle w:val="0"/>
        <w:spacing w:before="200" w:lineRule="auto"/>
        <w:ind w:firstLine="540"/>
        <w:jc w:val="both"/>
      </w:pPr>
      <w:r>
        <w:rPr>
          <w:sz w:val="20"/>
        </w:rPr>
        <w:t xml:space="preserve">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получатель субсидии не находится в составляемых в рамках реализации полномочий, предусмотренных </w:t>
      </w:r>
      <w:hyperlink w:history="0" r:id="rId1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получатель субсидии не получает средства из областного бюджета на основании иных нормативных правовых актов Нижегородской области на цели, установленные </w:t>
      </w:r>
      <w:hyperlink w:history="0" w:anchor="P59" w:tooltip="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quot;Предотвращение заноса, распространения и ликвидация африканской чумы свиней на территории Нижегородской области&quot;, являющегося структурным элементом государственной программы &quot;Развитие агропромышленного комплекса Нижегородской области&quot;, утвержденной постановлением Правительства Нижегородской области от 28 апреля 20...">
        <w:r>
          <w:rPr>
            <w:sz w:val="20"/>
            <w:color w:val="0000ff"/>
          </w:rPr>
          <w:t xml:space="preserve">пунктом 1.3</w:t>
        </w:r>
      </w:hyperlink>
      <w:r>
        <w:rPr>
          <w:sz w:val="20"/>
        </w:rPr>
        <w:t xml:space="preserve"> настоящего Порядка, в соответствии с направлениями затрат, предусмотренными </w:t>
      </w:r>
      <w:hyperlink w:history="0" w:anchor="P62" w:tooltip="1.6. Способом предоставления субсидии является возмещение затрат.">
        <w:r>
          <w:rPr>
            <w:sz w:val="20"/>
            <w:color w:val="0000ff"/>
          </w:rPr>
          <w:t xml:space="preserve">пунктом 1.6</w:t>
        </w:r>
      </w:hyperlink>
      <w:r>
        <w:rPr>
          <w:sz w:val="20"/>
        </w:rPr>
        <w:t xml:space="preserve"> настоящего Порядка;</w:t>
      </w:r>
    </w:p>
    <w:bookmarkStart w:id="80" w:name="P80"/>
    <w:bookmarkEnd w:id="80"/>
    <w:p>
      <w:pPr>
        <w:pStyle w:val="0"/>
        <w:spacing w:before="200" w:lineRule="auto"/>
        <w:ind w:firstLine="540"/>
        <w:jc w:val="both"/>
      </w:pPr>
      <w:r>
        <w:rPr>
          <w:sz w:val="20"/>
        </w:rPr>
        <w:t xml:space="preserve">5) получатель субсидии не является иностранным агентом в соответствии с Федеральным </w:t>
      </w:r>
      <w:hyperlink w:history="0" r:id="rId1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 N 255-ФЗ "О контроле за деятельностью лиц, находящихся под иностранным влиянием";</w:t>
      </w:r>
    </w:p>
    <w:bookmarkStart w:id="81" w:name="P81"/>
    <w:bookmarkEnd w:id="81"/>
    <w:p>
      <w:pPr>
        <w:pStyle w:val="0"/>
        <w:spacing w:before="200" w:lineRule="auto"/>
        <w:ind w:firstLine="540"/>
        <w:jc w:val="both"/>
      </w:pPr>
      <w:r>
        <w:rPr>
          <w:sz w:val="20"/>
        </w:rPr>
        <w:t xml:space="preserve">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w:t>
      </w:r>
    </w:p>
    <w:bookmarkStart w:id="82" w:name="P82"/>
    <w:bookmarkEnd w:id="82"/>
    <w:p>
      <w:pPr>
        <w:pStyle w:val="0"/>
        <w:spacing w:before="200" w:lineRule="auto"/>
        <w:ind w:firstLine="540"/>
        <w:jc w:val="both"/>
      </w:pPr>
      <w:r>
        <w:rPr>
          <w:sz w:val="20"/>
        </w:rPr>
        <w:t xml:space="preserve">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8) иные требования:</w:t>
      </w:r>
    </w:p>
    <w:bookmarkStart w:id="84" w:name="P84"/>
    <w:bookmarkEnd w:id="84"/>
    <w:p>
      <w:pPr>
        <w:pStyle w:val="0"/>
        <w:spacing w:before="200" w:lineRule="auto"/>
        <w:ind w:firstLine="540"/>
        <w:jc w:val="both"/>
      </w:pPr>
      <w:r>
        <w:rPr>
          <w:sz w:val="20"/>
        </w:rPr>
        <w:t xml:space="preserve">а)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bookmarkStart w:id="85" w:name="P85"/>
    <w:bookmarkEnd w:id="85"/>
    <w:p>
      <w:pPr>
        <w:pStyle w:val="0"/>
        <w:spacing w:before="200" w:lineRule="auto"/>
        <w:ind w:firstLine="540"/>
        <w:jc w:val="both"/>
      </w:pPr>
      <w:r>
        <w:rPr>
          <w:sz w:val="20"/>
        </w:rPr>
        <w:t xml:space="preserve">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w:t>
      </w:r>
    </w:p>
    <w:bookmarkStart w:id="86" w:name="P86"/>
    <w:bookmarkEnd w:id="86"/>
    <w:p>
      <w:pPr>
        <w:pStyle w:val="0"/>
        <w:spacing w:before="200" w:lineRule="auto"/>
        <w:ind w:firstLine="540"/>
        <w:jc w:val="both"/>
      </w:pPr>
      <w:r>
        <w:rPr>
          <w:sz w:val="20"/>
        </w:rPr>
        <w:t xml:space="preserve">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w:t>
      </w:r>
    </w:p>
    <w:bookmarkStart w:id="87" w:name="P87"/>
    <w:bookmarkEnd w:id="87"/>
    <w:p>
      <w:pPr>
        <w:pStyle w:val="0"/>
        <w:spacing w:before="200" w:lineRule="auto"/>
        <w:ind w:firstLine="540"/>
        <w:jc w:val="both"/>
      </w:pPr>
      <w:r>
        <w:rPr>
          <w:sz w:val="20"/>
        </w:rPr>
        <w:t xml:space="preserve">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bookmarkStart w:id="88" w:name="P88"/>
    <w:bookmarkEnd w:id="88"/>
    <w:p>
      <w:pPr>
        <w:pStyle w:val="0"/>
        <w:spacing w:before="200" w:lineRule="auto"/>
        <w:ind w:firstLine="540"/>
        <w:jc w:val="both"/>
      </w:pPr>
      <w:r>
        <w:rPr>
          <w:sz w:val="20"/>
        </w:rPr>
        <w:t xml:space="preserve">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bookmarkStart w:id="89" w:name="P89"/>
    <w:bookmarkEnd w:id="89"/>
    <w:p>
      <w:pPr>
        <w:pStyle w:val="0"/>
        <w:spacing w:before="200" w:lineRule="auto"/>
        <w:ind w:firstLine="540"/>
        <w:jc w:val="both"/>
      </w:pPr>
      <w:r>
        <w:rPr>
          <w:sz w:val="20"/>
        </w:rPr>
        <w:t xml:space="preserve">е) 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(далее - Фонд Народного Единства) либо осуществляет иные безвозмездные перечисления в соответствии с Указом Губернатора Нижегородской области от 13 ноября 2024 г. N 225 (далее - Иные безвозмездные перечисления);</w:t>
      </w:r>
    </w:p>
    <w:bookmarkStart w:id="90" w:name="P90"/>
    <w:bookmarkEnd w:id="90"/>
    <w:p>
      <w:pPr>
        <w:pStyle w:val="0"/>
        <w:spacing w:before="200" w:lineRule="auto"/>
        <w:ind w:firstLine="540"/>
        <w:jc w:val="both"/>
      </w:pPr>
      <w:r>
        <w:rPr>
          <w:sz w:val="20"/>
        </w:rPr>
        <w:t xml:space="preserve">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финансово-экономическом состоянии товаропроизводителей агропромышленного комплекса (далее - Управление) и государственное казенное учреждение Нижегородской области "Нижегородсельинвестстрой" (далее - ГКУ НО "Нижегородсельинвестстрой"), содержащее обязательства, указанные в </w:t>
      </w:r>
      <w:hyperlink w:history="0" w:anchor="P179" w:tooltip="2.16. Соглашение о строительстве (реконструкции) включает следующие обязательные условия:">
        <w:r>
          <w:rPr>
            <w:sz w:val="20"/>
            <w:color w:val="0000ff"/>
          </w:rPr>
          <w:t xml:space="preserve">пункте 2.16</w:t>
        </w:r>
      </w:hyperlink>
      <w:r>
        <w:rPr>
          <w:sz w:val="20"/>
        </w:rPr>
        <w:t xml:space="preserve"> настоящего Порядка.</w:t>
      </w:r>
    </w:p>
    <w:bookmarkStart w:id="91" w:name="P91"/>
    <w:bookmarkEnd w:id="91"/>
    <w:p>
      <w:pPr>
        <w:pStyle w:val="0"/>
        <w:spacing w:before="200" w:lineRule="auto"/>
        <w:ind w:firstLine="540"/>
        <w:jc w:val="both"/>
      </w:pPr>
      <w:r>
        <w:rPr>
          <w:sz w:val="20"/>
        </w:rPr>
        <w:t xml:space="preserve">2.3. Для получения субсидии получатель субсидии в срок не позднее 30 числа месяца, следующего за отчетным кварталом (в 2024 году - в срок не позднее 20 декабря текущего года), представляет Минсельхозпроду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в информационно-телекоммуникационной сети "Интернет" (далее - официальный сайт Минсельхозпрода), заявление о предоставлении субсидии, составленное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заявление). Заявление подписывается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w:t>
      </w:r>
    </w:p>
    <w:p>
      <w:pPr>
        <w:pStyle w:val="0"/>
        <w:spacing w:before="200" w:lineRule="auto"/>
        <w:ind w:firstLine="540"/>
        <w:jc w:val="both"/>
      </w:pPr>
      <w:r>
        <w:rPr>
          <w:sz w:val="20"/>
        </w:rPr>
        <w:t xml:space="preserve">Получатель субсидии вправе представить заявление за несколько отчетных кварталов текущего финансового года в случае неполучения субсидии за соответствующий период.</w:t>
      </w:r>
    </w:p>
    <w:p>
      <w:pPr>
        <w:pStyle w:val="0"/>
        <w:spacing w:before="200" w:lineRule="auto"/>
        <w:ind w:firstLine="540"/>
        <w:jc w:val="both"/>
      </w:pPr>
      <w:r>
        <w:rPr>
          <w:sz w:val="20"/>
        </w:rPr>
        <w:t xml:space="preserve">В заявлении получатель субсидии декларирует соответствие требованиям, установленным в </w:t>
      </w:r>
      <w:hyperlink w:history="0" w:anchor="P75"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w:t>
      </w:r>
    </w:p>
    <w:p>
      <w:pPr>
        <w:pStyle w:val="0"/>
        <w:spacing w:before="200" w:lineRule="auto"/>
        <w:ind w:firstLine="540"/>
        <w:jc w:val="both"/>
      </w:pPr>
      <w:r>
        <w:rPr>
          <w:sz w:val="20"/>
        </w:rPr>
        <w:t xml:space="preserve">К заявлению получатель субсидии прилагает:</w:t>
      </w:r>
    </w:p>
    <w:p>
      <w:pPr>
        <w:pStyle w:val="0"/>
        <w:spacing w:before="200" w:lineRule="auto"/>
        <w:ind w:firstLine="540"/>
        <w:jc w:val="both"/>
      </w:pPr>
      <w:r>
        <w:rPr>
          <w:sz w:val="20"/>
        </w:rPr>
        <w:t xml:space="preserve">1) расчет размера субсидии по форме, утвержденной Минсельхозпродом, или в случае, предусмотренном в </w:t>
      </w:r>
      <w:hyperlink w:history="0" w:anchor="P159" w:tooltip="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
        <w:r>
          <w:rPr>
            <w:sz w:val="20"/>
            <w:color w:val="0000ff"/>
          </w:rPr>
          <w:t xml:space="preserve">подпункте 2.9.6 пункта 2.9</w:t>
        </w:r>
      </w:hyperlink>
      <w:r>
        <w:rPr>
          <w:sz w:val="20"/>
        </w:rPr>
        <w:t xml:space="preserve"> настоящего Порядка, - расчет размера субсидии на строительство животноводческих объектов для содержания дойного стада, введенных в эксплуатацию, по форме, утвержденной Минсельхозпродом;</w:t>
      </w:r>
    </w:p>
    <w:p>
      <w:pPr>
        <w:pStyle w:val="0"/>
        <w:spacing w:before="200" w:lineRule="auto"/>
        <w:ind w:firstLine="540"/>
        <w:jc w:val="both"/>
      </w:pPr>
      <w:r>
        <w:rPr>
          <w:sz w:val="20"/>
        </w:rPr>
        <w:t xml:space="preserve">2) документы, подтверждающие фактически произведенные затраты, - заверенные получателем субсидии справки о стоимости выполненных работ и затрат по форме КС-3;</w:t>
      </w:r>
    </w:p>
    <w:p>
      <w:pPr>
        <w:pStyle w:val="0"/>
        <w:spacing w:before="200" w:lineRule="auto"/>
        <w:ind w:firstLine="540"/>
        <w:jc w:val="both"/>
      </w:pPr>
      <w:r>
        <w:rPr>
          <w:sz w:val="20"/>
        </w:rPr>
        <w:t xml:space="preserve">3) справку ГКУ НО "Нижегородсельинвестстрой" о соответствии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pPr>
        <w:pStyle w:val="0"/>
        <w:spacing w:before="200" w:lineRule="auto"/>
        <w:ind w:firstLine="540"/>
        <w:jc w:val="both"/>
      </w:pPr>
      <w:r>
        <w:rPr>
          <w:sz w:val="20"/>
        </w:rPr>
        <w:t xml:space="preserve">4) справку о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Нижегородской областью, составленную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w:t>
      </w:r>
    </w:p>
    <w:p>
      <w:pPr>
        <w:pStyle w:val="0"/>
        <w:spacing w:before="200" w:lineRule="auto"/>
        <w:ind w:firstLine="540"/>
        <w:jc w:val="both"/>
      </w:pPr>
      <w:r>
        <w:rPr>
          <w:sz w:val="20"/>
        </w:rPr>
        <w:t xml:space="preserve">5) справку министерства имущественных и земельных отношений Нижегородской области об отсутствии просроченной задолженности по неналоговым доходам, администрируемым министерством имущественных и земельных отношений Нижегородской области;</w:t>
      </w:r>
    </w:p>
    <w:p>
      <w:pPr>
        <w:pStyle w:val="0"/>
        <w:spacing w:before="200" w:lineRule="auto"/>
        <w:ind w:firstLine="540"/>
        <w:jc w:val="both"/>
      </w:pPr>
      <w:r>
        <w:rPr>
          <w:sz w:val="20"/>
        </w:rPr>
        <w:t xml:space="preserve">6) справку министерства лесного хозяйства и охраны объектов животного мира Нижегородской области об отсутствии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pPr>
        <w:pStyle w:val="0"/>
        <w:spacing w:before="200" w:lineRule="auto"/>
        <w:ind w:firstLine="540"/>
        <w:jc w:val="both"/>
      </w:pPr>
      <w:r>
        <w:rPr>
          <w:sz w:val="20"/>
        </w:rPr>
        <w:t xml:space="preserve">7) копию соглашения о взаимодействии с Фондом Народного Единства или уведомление о присвоении статуса Партнера Фонда Народного Единства либо копию соглашения об осуществлении Иных безвозмездных перечислений;</w:t>
      </w:r>
    </w:p>
    <w:p>
      <w:pPr>
        <w:pStyle w:val="0"/>
        <w:spacing w:before="200" w:lineRule="auto"/>
        <w:ind w:firstLine="540"/>
        <w:jc w:val="both"/>
      </w:pPr>
      <w:r>
        <w:rPr>
          <w:sz w:val="20"/>
        </w:rPr>
        <w:t xml:space="preserve">8) доверенность, подтверждающую полномочия лица на подписание заявления (не представляется в случае подписания заявления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 индивидуальным предпринимателем).</w:t>
      </w:r>
    </w:p>
    <w:p>
      <w:pPr>
        <w:pStyle w:val="0"/>
        <w:spacing w:before="200" w:lineRule="auto"/>
        <w:ind w:firstLine="540"/>
        <w:jc w:val="both"/>
      </w:pPr>
      <w:r>
        <w:rPr>
          <w:sz w:val="20"/>
        </w:rPr>
        <w:t xml:space="preserve">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0"/>
        <w:spacing w:before="200" w:lineRule="auto"/>
        <w:ind w:firstLine="540"/>
        <w:jc w:val="both"/>
      </w:pPr>
      <w:r>
        <w:rPr>
          <w:sz w:val="20"/>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либо уполномоченного им лица.</w:t>
      </w:r>
    </w:p>
    <w:p>
      <w:pPr>
        <w:pStyle w:val="0"/>
        <w:spacing w:before="200" w:lineRule="auto"/>
        <w:ind w:firstLine="540"/>
        <w:jc w:val="both"/>
      </w:pPr>
      <w:r>
        <w:rPr>
          <w:sz w:val="20"/>
        </w:rPr>
        <w:t xml:space="preserve">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0"/>
        <w:spacing w:before="200" w:lineRule="auto"/>
        <w:ind w:firstLine="540"/>
        <w:jc w:val="both"/>
      </w:pPr>
      <w:r>
        <w:rPr>
          <w:sz w:val="20"/>
        </w:rPr>
        <w:t xml:space="preserve">2.4. Заявление подлежит регистрации в Минсельхозпроде в день поступления.</w:t>
      </w:r>
    </w:p>
    <w:bookmarkStart w:id="107" w:name="P107"/>
    <w:bookmarkEnd w:id="107"/>
    <w:p>
      <w:pPr>
        <w:pStyle w:val="0"/>
        <w:spacing w:before="200" w:lineRule="auto"/>
        <w:ind w:firstLine="540"/>
        <w:jc w:val="both"/>
      </w:pPr>
      <w:r>
        <w:rPr>
          <w:sz w:val="20"/>
        </w:rPr>
        <w:t xml:space="preserve">2.5. Минсельхозпрод в течение 15 рабочих дней со дня, следующего за днем регистрации заявления, осуществляет проверку получателя субсидии:</w:t>
      </w:r>
    </w:p>
    <w:p>
      <w:pPr>
        <w:pStyle w:val="0"/>
        <w:spacing w:before="200" w:lineRule="auto"/>
        <w:ind w:firstLine="540"/>
        <w:jc w:val="both"/>
      </w:pPr>
      <w:r>
        <w:rPr>
          <w:sz w:val="20"/>
        </w:rPr>
        <w:t xml:space="preserve">- на соответствие требованиям, установленным в </w:t>
      </w:r>
      <w:hyperlink w:history="0" w:anchor="P76"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0"/>
            <w:color w:val="0000ff"/>
          </w:rPr>
          <w:t xml:space="preserve">подпунктах 1</w:t>
        </w:r>
      </w:hyperlink>
      <w:r>
        <w:rPr>
          <w:sz w:val="20"/>
        </w:rPr>
        <w:t xml:space="preserve"> - </w:t>
      </w:r>
      <w:hyperlink w:history="0" w:anchor="P80" w:tooltip="5) получатель субсидии не является иностранным агентом в соответствии с Федеральным законом от 14 июля 2022 г. N 255-ФЗ &quot;О контроле за деятельностью лиц, находящихся под иностранным влиянием&quot;;">
        <w:r>
          <w:rPr>
            <w:sz w:val="20"/>
            <w:color w:val="0000ff"/>
          </w:rPr>
          <w:t xml:space="preserve">5</w:t>
        </w:r>
      </w:hyperlink>
      <w:r>
        <w:rPr>
          <w:sz w:val="20"/>
        </w:rPr>
        <w:t xml:space="preserve">, </w:t>
      </w:r>
      <w:hyperlink w:history="0" w:anchor="P85" w:tooltip="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
        <w:r>
          <w:rPr>
            <w:sz w:val="20"/>
            <w:color w:val="0000ff"/>
          </w:rPr>
          <w:t xml:space="preserve">подпунктах "б"</w:t>
        </w:r>
      </w:hyperlink>
      <w:r>
        <w:rPr>
          <w:sz w:val="20"/>
        </w:rPr>
        <w:t xml:space="preserve">, </w:t>
      </w:r>
      <w:hyperlink w:history="0" w:anchor="P86" w:tooltip="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
        <w:r>
          <w:rPr>
            <w:sz w:val="20"/>
            <w:color w:val="0000ff"/>
          </w:rPr>
          <w:t xml:space="preserve">"в"</w:t>
        </w:r>
      </w:hyperlink>
      <w:r>
        <w:rPr>
          <w:sz w:val="20"/>
        </w:rPr>
        <w:t xml:space="preserve">, </w:t>
      </w:r>
      <w:hyperlink w:history="0" w:anchor="P87" w:tooltip="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
        <w:r>
          <w:rPr>
            <w:sz w:val="20"/>
            <w:color w:val="0000ff"/>
          </w:rPr>
          <w:t xml:space="preserve">"г"</w:t>
        </w:r>
      </w:hyperlink>
      <w:r>
        <w:rPr>
          <w:sz w:val="20"/>
        </w:rPr>
        <w:t xml:space="preserve">, </w:t>
      </w:r>
      <w:hyperlink w:history="0" w:anchor="P88" w:tooltip="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w:r>
          <w:rPr>
            <w:sz w:val="20"/>
            <w:color w:val="0000ff"/>
          </w:rPr>
          <w:t xml:space="preserve">"д"</w:t>
        </w:r>
      </w:hyperlink>
      <w:r>
        <w:rPr>
          <w:sz w:val="20"/>
        </w:rPr>
        <w:t xml:space="preserve">, </w:t>
      </w:r>
      <w:hyperlink w:history="0" w:anchor="P90" w:tooltip="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
        <w:r>
          <w:rPr>
            <w:sz w:val="20"/>
            <w:color w:val="0000ff"/>
          </w:rPr>
          <w:t xml:space="preserve">"ж" подпункта 8 пункта 2.2</w:t>
        </w:r>
      </w:hyperlink>
      <w:r>
        <w:rPr>
          <w:sz w:val="20"/>
        </w:rPr>
        <w:t xml:space="preserve"> настоящего Порядка, -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 также по информации, находящейся в распоряжении Минсельхозпрода;</w:t>
      </w:r>
    </w:p>
    <w:p>
      <w:pPr>
        <w:pStyle w:val="0"/>
        <w:spacing w:before="200" w:lineRule="auto"/>
        <w:ind w:firstLine="540"/>
        <w:jc w:val="both"/>
      </w:pPr>
      <w:r>
        <w:rPr>
          <w:sz w:val="20"/>
        </w:rPr>
        <w:t xml:space="preserve">- на соответствие требованиям, установленным в </w:t>
      </w:r>
      <w:hyperlink w:history="0" w:anchor="P81" w:tooltip="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
        <w:r>
          <w:rPr>
            <w:sz w:val="20"/>
            <w:color w:val="0000ff"/>
          </w:rPr>
          <w:t xml:space="preserve">подпунктах 6</w:t>
        </w:r>
      </w:hyperlink>
      <w:r>
        <w:rPr>
          <w:sz w:val="20"/>
        </w:rPr>
        <w:t xml:space="preserve">, </w:t>
      </w:r>
      <w:hyperlink w:history="0" w:anchor="P82" w:tooltip="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0"/>
            <w:color w:val="0000ff"/>
          </w:rPr>
          <w:t xml:space="preserve">7</w:t>
        </w:r>
      </w:hyperlink>
      <w:r>
        <w:rPr>
          <w:sz w:val="20"/>
        </w:rPr>
        <w:t xml:space="preserve">, </w:t>
      </w:r>
      <w:hyperlink w:history="0" w:anchor="P84" w:tooltip="а)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
        <w:r>
          <w:rPr>
            <w:sz w:val="20"/>
            <w:color w:val="0000ff"/>
          </w:rPr>
          <w:t xml:space="preserve">подпунктах "а"</w:t>
        </w:r>
      </w:hyperlink>
      <w:r>
        <w:rPr>
          <w:sz w:val="20"/>
        </w:rPr>
        <w:t xml:space="preserve">, </w:t>
      </w:r>
      <w:hyperlink w:history="0" w:anchor="P89" w:tooltip="е) получатель субсидии обладает статусом Партнера Фонда содействия участникам специальной военной операции и членам их семей &quot;Фонд Народного Единства Нижегородской области&quot; (далее - Фонд Народного Единства) либо осуществляет иные безвозмездные перечисления в соответствии с Указом Губернатора Нижегородской области от 13 ноября 2024 г. N 225 (далее - Иные безвозмездные перечисления);">
        <w:r>
          <w:rPr>
            <w:sz w:val="20"/>
            <w:color w:val="0000ff"/>
          </w:rPr>
          <w:t xml:space="preserve">"е" подпункта 8 пункта 2.2</w:t>
        </w:r>
      </w:hyperlink>
      <w:r>
        <w:rPr>
          <w:sz w:val="20"/>
        </w:rPr>
        <w:t xml:space="preserve"> настоящего Порядка, - по информации, представленной получателем субсидии.</w:t>
      </w:r>
    </w:p>
    <w:p>
      <w:pPr>
        <w:pStyle w:val="0"/>
        <w:spacing w:before="200" w:lineRule="auto"/>
        <w:ind w:firstLine="540"/>
        <w:jc w:val="both"/>
      </w:pPr>
      <w:r>
        <w:rPr>
          <w:sz w:val="20"/>
        </w:rPr>
        <w:t xml:space="preserve">Получатель субсидии вправе по собственной инициативе представить документы для подтверждения соответствия требованиям, установленным в </w:t>
      </w:r>
      <w:hyperlink w:history="0" w:anchor="P76"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0"/>
            <w:color w:val="0000ff"/>
          </w:rPr>
          <w:t xml:space="preserve">подпунктах 1</w:t>
        </w:r>
      </w:hyperlink>
      <w:r>
        <w:rPr>
          <w:sz w:val="20"/>
        </w:rPr>
        <w:t xml:space="preserve"> - </w:t>
      </w:r>
      <w:hyperlink w:history="0" w:anchor="P80" w:tooltip="5) получатель субсидии не является иностранным агентом в соответствии с Федеральным законом от 14 июля 2022 г. N 255-ФЗ &quot;О контроле за деятельностью лиц, находящихся под иностранным влиянием&quot;;">
        <w:r>
          <w:rPr>
            <w:sz w:val="20"/>
            <w:color w:val="0000ff"/>
          </w:rPr>
          <w:t xml:space="preserve">5</w:t>
        </w:r>
      </w:hyperlink>
      <w:r>
        <w:rPr>
          <w:sz w:val="20"/>
        </w:rPr>
        <w:t xml:space="preserve">, </w:t>
      </w:r>
      <w:hyperlink w:history="0" w:anchor="P85" w:tooltip="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
        <w:r>
          <w:rPr>
            <w:sz w:val="20"/>
            <w:color w:val="0000ff"/>
          </w:rPr>
          <w:t xml:space="preserve">подпунктах "б"</w:t>
        </w:r>
      </w:hyperlink>
      <w:r>
        <w:rPr>
          <w:sz w:val="20"/>
        </w:rPr>
        <w:t xml:space="preserve">, </w:t>
      </w:r>
      <w:hyperlink w:history="0" w:anchor="P86" w:tooltip="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
        <w:r>
          <w:rPr>
            <w:sz w:val="20"/>
            <w:color w:val="0000ff"/>
          </w:rPr>
          <w:t xml:space="preserve">"в"</w:t>
        </w:r>
      </w:hyperlink>
      <w:r>
        <w:rPr>
          <w:sz w:val="20"/>
        </w:rPr>
        <w:t xml:space="preserve">, </w:t>
      </w:r>
      <w:hyperlink w:history="0" w:anchor="P87" w:tooltip="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
        <w:r>
          <w:rPr>
            <w:sz w:val="20"/>
            <w:color w:val="0000ff"/>
          </w:rPr>
          <w:t xml:space="preserve">"г"</w:t>
        </w:r>
      </w:hyperlink>
      <w:r>
        <w:rPr>
          <w:sz w:val="20"/>
        </w:rPr>
        <w:t xml:space="preserve">, </w:t>
      </w:r>
      <w:hyperlink w:history="0" w:anchor="P88" w:tooltip="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w:r>
          <w:rPr>
            <w:sz w:val="20"/>
            <w:color w:val="0000ff"/>
          </w:rPr>
          <w:t xml:space="preserve">"д"</w:t>
        </w:r>
      </w:hyperlink>
      <w:r>
        <w:rPr>
          <w:sz w:val="20"/>
        </w:rPr>
        <w:t xml:space="preserve">, </w:t>
      </w:r>
      <w:hyperlink w:history="0" w:anchor="P90" w:tooltip="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
        <w:r>
          <w:rPr>
            <w:sz w:val="20"/>
            <w:color w:val="0000ff"/>
          </w:rPr>
          <w:t xml:space="preserve">"ж" подпункта 8 пункта 2.2</w:t>
        </w:r>
      </w:hyperlink>
      <w:r>
        <w:rPr>
          <w:sz w:val="20"/>
        </w:rPr>
        <w:t xml:space="preserve"> настоящего Порядка.</w:t>
      </w:r>
    </w:p>
    <w:bookmarkStart w:id="111" w:name="P111"/>
    <w:bookmarkEnd w:id="111"/>
    <w:p>
      <w:pPr>
        <w:pStyle w:val="0"/>
        <w:spacing w:before="200" w:lineRule="auto"/>
        <w:ind w:firstLine="540"/>
        <w:jc w:val="both"/>
      </w:pPr>
      <w:r>
        <w:rPr>
          <w:sz w:val="20"/>
        </w:rPr>
        <w:t xml:space="preserve">2.6. В случае отсутствия технической возможности, указанной в </w:t>
      </w:r>
      <w:hyperlink w:history="0" w:anchor="P107"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пункте 2.5</w:t>
        </w:r>
      </w:hyperlink>
      <w:r>
        <w:rPr>
          <w:sz w:val="20"/>
        </w:rPr>
        <w:t xml:space="preserve">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w:t>
      </w:r>
      <w:hyperlink w:history="0" w:anchor="P76"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0"/>
            <w:color w:val="0000ff"/>
          </w:rPr>
          <w:t xml:space="preserve">подпунктах 1</w:t>
        </w:r>
      </w:hyperlink>
      <w:r>
        <w:rPr>
          <w:sz w:val="20"/>
        </w:rPr>
        <w:t xml:space="preserve"> - </w:t>
      </w:r>
      <w:hyperlink w:history="0" w:anchor="P80" w:tooltip="5) получатель субсидии не является иностранным агентом в соответствии с Федеральным законом от 14 июля 2022 г. N 255-ФЗ &quot;О контроле за деятельностью лиц, находящихся под иностранным влиянием&quot;;">
        <w:r>
          <w:rPr>
            <w:sz w:val="20"/>
            <w:color w:val="0000ff"/>
          </w:rPr>
          <w:t xml:space="preserve">5</w:t>
        </w:r>
      </w:hyperlink>
      <w:r>
        <w:rPr>
          <w:sz w:val="20"/>
        </w:rPr>
        <w:t xml:space="preserve">, </w:t>
      </w:r>
      <w:hyperlink w:history="0" w:anchor="P85" w:tooltip="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
        <w:r>
          <w:rPr>
            <w:sz w:val="20"/>
            <w:color w:val="0000ff"/>
          </w:rPr>
          <w:t xml:space="preserve">подпунктах "б"</w:t>
        </w:r>
      </w:hyperlink>
      <w:r>
        <w:rPr>
          <w:sz w:val="20"/>
        </w:rPr>
        <w:t xml:space="preserve">, </w:t>
      </w:r>
      <w:hyperlink w:history="0" w:anchor="P86" w:tooltip="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
        <w:r>
          <w:rPr>
            <w:sz w:val="20"/>
            <w:color w:val="0000ff"/>
          </w:rPr>
          <w:t xml:space="preserve">"в"</w:t>
        </w:r>
      </w:hyperlink>
      <w:r>
        <w:rPr>
          <w:sz w:val="20"/>
        </w:rPr>
        <w:t xml:space="preserve">, </w:t>
      </w:r>
      <w:hyperlink w:history="0" w:anchor="P87" w:tooltip="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
        <w:r>
          <w:rPr>
            <w:sz w:val="20"/>
            <w:color w:val="0000ff"/>
          </w:rPr>
          <w:t xml:space="preserve">"г"</w:t>
        </w:r>
      </w:hyperlink>
      <w:r>
        <w:rPr>
          <w:sz w:val="20"/>
        </w:rPr>
        <w:t xml:space="preserve">, </w:t>
      </w:r>
      <w:hyperlink w:history="0" w:anchor="P88" w:tooltip="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w:r>
          <w:rPr>
            <w:sz w:val="20"/>
            <w:color w:val="0000ff"/>
          </w:rPr>
          <w:t xml:space="preserve">"д"</w:t>
        </w:r>
      </w:hyperlink>
      <w:r>
        <w:rPr>
          <w:sz w:val="20"/>
        </w:rPr>
        <w:t xml:space="preserve">, </w:t>
      </w:r>
      <w:hyperlink w:history="0" w:anchor="P90" w:tooltip="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
        <w:r>
          <w:rPr>
            <w:sz w:val="20"/>
            <w:color w:val="0000ff"/>
          </w:rPr>
          <w:t xml:space="preserve">"ж" подпункта 8 пункта 2.2</w:t>
        </w:r>
      </w:hyperlink>
      <w:r>
        <w:rPr>
          <w:sz w:val="20"/>
        </w:rPr>
        <w:t xml:space="preserve"> настоящего Порядка.</w:t>
      </w:r>
    </w:p>
    <w:p>
      <w:pPr>
        <w:pStyle w:val="0"/>
        <w:spacing w:before="200" w:lineRule="auto"/>
        <w:ind w:firstLine="540"/>
        <w:jc w:val="both"/>
      </w:pPr>
      <w:r>
        <w:rPr>
          <w:sz w:val="20"/>
        </w:rPr>
        <w:t xml:space="preserve">Ответственность за достоверность сведений, содержащихся в представленных получателем субсидии документах, несет получатель субсидии.</w:t>
      </w:r>
    </w:p>
    <w:p>
      <w:pPr>
        <w:pStyle w:val="0"/>
        <w:spacing w:before="200" w:lineRule="auto"/>
        <w:ind w:firstLine="540"/>
        <w:jc w:val="both"/>
      </w:pPr>
      <w:r>
        <w:rPr>
          <w:sz w:val="20"/>
        </w:rPr>
        <w:t xml:space="preserve">В случае, установленном настоящим пунктом, срок рассмотрения заявления продлевается на 5 рабочих дней со дня представления получателем субсидии запрашиваемых Минсельхозпродом документов.</w:t>
      </w:r>
    </w:p>
    <w:bookmarkStart w:id="114" w:name="P114"/>
    <w:bookmarkEnd w:id="114"/>
    <w:p>
      <w:pPr>
        <w:pStyle w:val="0"/>
        <w:spacing w:before="200" w:lineRule="auto"/>
        <w:ind w:firstLine="540"/>
        <w:jc w:val="both"/>
      </w:pPr>
      <w:r>
        <w:rPr>
          <w:sz w:val="20"/>
        </w:rPr>
        <w:t xml:space="preserve">2.7. Основания для отказа получателю субсидии в предоставлении субсидии:</w:t>
      </w:r>
    </w:p>
    <w:p>
      <w:pPr>
        <w:pStyle w:val="0"/>
        <w:spacing w:before="200" w:lineRule="auto"/>
        <w:ind w:firstLine="540"/>
        <w:jc w:val="both"/>
      </w:pPr>
      <w:r>
        <w:rPr>
          <w:sz w:val="20"/>
        </w:rPr>
        <w:t xml:space="preserve">-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 несоответствие получателя субсидии требованиям, установленным в </w:t>
      </w:r>
      <w:hyperlink w:history="0" w:anchor="P75"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w:t>
      </w:r>
    </w:p>
    <w:p>
      <w:pPr>
        <w:pStyle w:val="0"/>
        <w:spacing w:before="200" w:lineRule="auto"/>
        <w:ind w:firstLine="540"/>
        <w:jc w:val="both"/>
      </w:pPr>
      <w:r>
        <w:rPr>
          <w:sz w:val="20"/>
        </w:rPr>
        <w:t xml:space="preserve">2.8. По результатам рассмотрения заявления и прилагаемых к нему документов Минсельхозпрод до истечения срока, установленного в </w:t>
      </w:r>
      <w:hyperlink w:history="0" w:anchor="P107"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пункте 2.5</w:t>
        </w:r>
      </w:hyperlink>
      <w:r>
        <w:rPr>
          <w:sz w:val="20"/>
        </w:rPr>
        <w:t xml:space="preserve"> настоящего Порядка:</w:t>
      </w:r>
    </w:p>
    <w:p>
      <w:pPr>
        <w:pStyle w:val="0"/>
        <w:spacing w:before="200" w:lineRule="auto"/>
        <w:ind w:firstLine="540"/>
        <w:jc w:val="both"/>
      </w:pPr>
      <w:r>
        <w:rPr>
          <w:sz w:val="20"/>
        </w:rPr>
        <w:t xml:space="preserve">1) при выявлении оснований для отказа в предоставлении субсидии, указанных в </w:t>
      </w:r>
      <w:hyperlink w:history="0" w:anchor="P114" w:tooltip="2.7. Основания для отказа получателю субсидии в предоставлении субсидии:">
        <w:r>
          <w:rPr>
            <w:sz w:val="20"/>
            <w:color w:val="0000ff"/>
          </w:rPr>
          <w:t xml:space="preserve">пункте 2.7</w:t>
        </w:r>
      </w:hyperlink>
      <w:r>
        <w:rPr>
          <w:sz w:val="20"/>
        </w:rPr>
        <w:t xml:space="preserve"> настоящего Порядка, - принимает решение об отказе в предоставлении субсидии;</w:t>
      </w:r>
    </w:p>
    <w:p>
      <w:pPr>
        <w:pStyle w:val="0"/>
        <w:spacing w:before="200" w:lineRule="auto"/>
        <w:ind w:firstLine="540"/>
        <w:jc w:val="both"/>
      </w:pPr>
      <w:r>
        <w:rPr>
          <w:sz w:val="20"/>
        </w:rPr>
        <w:t xml:space="preserve">2) при отсутствии оснований для отказа в предоставлении субсидии, указанных в </w:t>
      </w:r>
      <w:hyperlink w:history="0" w:anchor="P114" w:tooltip="2.7. Основания для отказа получателю субсидии в предоставлении субсидии:">
        <w:r>
          <w:rPr>
            <w:sz w:val="20"/>
            <w:color w:val="0000ff"/>
          </w:rPr>
          <w:t xml:space="preserve">пункте 2.7</w:t>
        </w:r>
      </w:hyperlink>
      <w:r>
        <w:rPr>
          <w:sz w:val="20"/>
        </w:rPr>
        <w:t xml:space="preserve"> настоящего Порядка, - принимает решение о предоставлении субсидии, определяет размер предоставляемой субсидии в соответствии с </w:t>
      </w:r>
      <w:hyperlink w:history="0" w:anchor="P126" w:tooltip="2.9. Порядок расчета размера субсидии.">
        <w:r>
          <w:rPr>
            <w:sz w:val="20"/>
            <w:color w:val="0000ff"/>
          </w:rPr>
          <w:t xml:space="preserve">пунктом 2.9</w:t>
        </w:r>
      </w:hyperlink>
      <w:r>
        <w:rPr>
          <w:sz w:val="20"/>
        </w:rPr>
        <w:t xml:space="preserve"> настоящего Порядка.</w:t>
      </w:r>
    </w:p>
    <w:p>
      <w:pPr>
        <w:pStyle w:val="0"/>
        <w:spacing w:before="200" w:lineRule="auto"/>
        <w:ind w:firstLine="540"/>
        <w:jc w:val="both"/>
      </w:pPr>
      <w:r>
        <w:rPr>
          <w:sz w:val="20"/>
        </w:rPr>
        <w:t xml:space="preserve">Решение о предоставлении субсидии оформляется посредством составления сводного реестра получателей субсидии с указанием реквизитов правового акта, которым определены получатели субсидии на текущий финансовый год, и размера предоставляемой субсидии.</w:t>
      </w:r>
    </w:p>
    <w:bookmarkStart w:id="122" w:name="P122"/>
    <w:bookmarkEnd w:id="122"/>
    <w:p>
      <w:pPr>
        <w:pStyle w:val="0"/>
        <w:spacing w:before="200" w:lineRule="auto"/>
        <w:ind w:firstLine="540"/>
        <w:jc w:val="both"/>
      </w:pPr>
      <w:r>
        <w:rPr>
          <w:sz w:val="20"/>
        </w:rPr>
        <w:t xml:space="preserve">Минсельхозпрод в течение 5 рабочих дней со дня принятия решения письменно информирует получателя субсидии о принятом решении путем направления ему уведомления.</w:t>
      </w:r>
    </w:p>
    <w:bookmarkStart w:id="123" w:name="P123"/>
    <w:bookmarkEnd w:id="123"/>
    <w:p>
      <w:pPr>
        <w:pStyle w:val="0"/>
        <w:spacing w:before="200" w:lineRule="auto"/>
        <w:ind w:firstLine="540"/>
        <w:jc w:val="both"/>
      </w:pPr>
      <w:r>
        <w:rPr>
          <w:sz w:val="20"/>
        </w:rPr>
        <w:t xml:space="preserve">В случае принятия решения о предоставлении субсидии в уведомлении указываются сроки заключения соглашения.</w:t>
      </w:r>
    </w:p>
    <w:p>
      <w:pPr>
        <w:pStyle w:val="0"/>
        <w:spacing w:before="200" w:lineRule="auto"/>
        <w:ind w:firstLine="540"/>
        <w:jc w:val="both"/>
      </w:pPr>
      <w:r>
        <w:rPr>
          <w:sz w:val="20"/>
        </w:rPr>
        <w:t xml:space="preserve">В случае принятия решения об отказе в предоставлении субсидии в уведомлении указывается обстоятельство, послужившее основанием для отказа в предоставлении субсидии.</w:t>
      </w:r>
    </w:p>
    <w:p>
      <w:pPr>
        <w:pStyle w:val="0"/>
        <w:spacing w:before="200" w:lineRule="auto"/>
        <w:ind w:firstLine="540"/>
        <w:jc w:val="both"/>
      </w:pPr>
      <w:r>
        <w:rPr>
          <w:sz w:val="20"/>
        </w:rPr>
        <w:t xml:space="preserve">Получатель субсидии после получения уведомления об отказе в предоставлении субсидии вправе повторно представить документы для получения субсидии не позднее срока, установленного в </w:t>
      </w:r>
      <w:hyperlink w:history="0" w:anchor="P107"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пункте 2.5</w:t>
        </w:r>
      </w:hyperlink>
      <w:r>
        <w:rPr>
          <w:sz w:val="20"/>
        </w:rPr>
        <w:t xml:space="preserve"> настоящего Порядка. Повторная проверка получателя субсидии и документов на соответствие установленным требованиям осуществляется в соответствии с </w:t>
      </w:r>
      <w:hyperlink w:history="0" w:anchor="P107"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пунктами 2.5</w:t>
        </w:r>
      </w:hyperlink>
      <w:r>
        <w:rPr>
          <w:sz w:val="20"/>
        </w:rPr>
        <w:t xml:space="preserve">, </w:t>
      </w:r>
      <w:hyperlink w:history="0" w:anchor="P111" w:tooltip="2.6. В случае отсутствия технической возможности, указанной в пункте 2.5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подпунктах 1 - 5, подпунктах &quot;б&quot;, &quot;в&quot;, &quot;г&quot;, &quot;д&quot;, &quot;ж&quot; подпункта 8 пункта 2.2 настоящего Порядка.">
        <w:r>
          <w:rPr>
            <w:sz w:val="20"/>
            <w:color w:val="0000ff"/>
          </w:rPr>
          <w:t xml:space="preserve">2.6</w:t>
        </w:r>
      </w:hyperlink>
      <w:r>
        <w:rPr>
          <w:sz w:val="20"/>
        </w:rPr>
        <w:t xml:space="preserve"> настоящего Порядка.</w:t>
      </w:r>
    </w:p>
    <w:bookmarkStart w:id="126" w:name="P126"/>
    <w:bookmarkEnd w:id="126"/>
    <w:p>
      <w:pPr>
        <w:pStyle w:val="0"/>
        <w:spacing w:before="200" w:lineRule="auto"/>
        <w:ind w:firstLine="540"/>
        <w:jc w:val="both"/>
      </w:pPr>
      <w:r>
        <w:rPr>
          <w:sz w:val="20"/>
        </w:rPr>
        <w:t xml:space="preserve">2.9. Порядок расчета размера субсидии.</w:t>
      </w:r>
    </w:p>
    <w:bookmarkStart w:id="127" w:name="P127"/>
    <w:bookmarkEnd w:id="127"/>
    <w:p>
      <w:pPr>
        <w:pStyle w:val="0"/>
        <w:spacing w:before="200" w:lineRule="auto"/>
        <w:ind w:firstLine="540"/>
        <w:jc w:val="both"/>
      </w:pPr>
      <w:r>
        <w:rPr>
          <w:sz w:val="20"/>
        </w:rPr>
        <w:t xml:space="preserve">2.9.1. Предоставление субсидии осуществляется единовременно.</w:t>
      </w:r>
    </w:p>
    <w:p>
      <w:pPr>
        <w:pStyle w:val="0"/>
        <w:spacing w:before="200" w:lineRule="auto"/>
        <w:ind w:firstLine="540"/>
        <w:jc w:val="both"/>
      </w:pPr>
      <w:r>
        <w:rPr>
          <w:sz w:val="20"/>
        </w:rPr>
        <w:t xml:space="preserve">Размер субсидии на строительство рассчитывается по следующим ставкам:</w:t>
      </w:r>
    </w:p>
    <w:p>
      <w:pPr>
        <w:pStyle w:val="0"/>
        <w:spacing w:before="200" w:lineRule="auto"/>
        <w:ind w:firstLine="540"/>
        <w:jc w:val="both"/>
      </w:pPr>
      <w:r>
        <w:rPr>
          <w:sz w:val="20"/>
        </w:rPr>
        <w:t xml:space="preserve">- 70 тысяч рублей на одно ското-место дойного стада крупного рогатого скота при строительстве животноводческого комплекса (фермы) по производству молока (животноводческого помещения для содержания дойного стада) мощностью до 250 голов дойного стада крупного рогатого скота включительно;</w:t>
      </w:r>
    </w:p>
    <w:p>
      <w:pPr>
        <w:pStyle w:val="0"/>
        <w:spacing w:before="200" w:lineRule="auto"/>
        <w:ind w:firstLine="540"/>
        <w:jc w:val="both"/>
      </w:pPr>
      <w:r>
        <w:rPr>
          <w:sz w:val="20"/>
        </w:rPr>
        <w:t xml:space="preserve">- 80 тысяч рублей на одно ското-место дойного стада крупного рогатого скота при строительстве животноводческого комплекса (фермы) по производству молока (животноводческого помещения для содержания дойного стада) мощностью от 251 до 399 голов дойного стада крупного рогатого скота включительно;</w:t>
      </w:r>
    </w:p>
    <w:p>
      <w:pPr>
        <w:pStyle w:val="0"/>
        <w:spacing w:before="200" w:lineRule="auto"/>
        <w:ind w:firstLine="540"/>
        <w:jc w:val="both"/>
      </w:pPr>
      <w:r>
        <w:rPr>
          <w:sz w:val="20"/>
        </w:rPr>
        <w:t xml:space="preserve">- 120 тысяч рублей на одно ското-место дойного стада крупного рогатого скота при строительстве животноводческого комплекса (фермы) по производству молока (животноводческого помещения для содержания дойного стада) мощностью от 400 до 599 голов дойного стада крупного рогатого скота включительно;</w:t>
      </w:r>
    </w:p>
    <w:p>
      <w:pPr>
        <w:pStyle w:val="0"/>
        <w:spacing w:before="200" w:lineRule="auto"/>
        <w:ind w:firstLine="540"/>
        <w:jc w:val="both"/>
      </w:pPr>
      <w:r>
        <w:rPr>
          <w:sz w:val="20"/>
        </w:rPr>
        <w:t xml:space="preserve">- 140 тысяч рублей на одно ското-место дойного стада крупного рогатого скота при строительстве животноводческого комплекса (фермы) по производству молока (животноводческого помещения для содержания дойного стада) мощностью от 600 до 799 голов дойного стада крупного рогатого скота включительно;</w:t>
      </w:r>
    </w:p>
    <w:p>
      <w:pPr>
        <w:pStyle w:val="0"/>
        <w:spacing w:before="200" w:lineRule="auto"/>
        <w:ind w:firstLine="540"/>
        <w:jc w:val="both"/>
      </w:pPr>
      <w:r>
        <w:rPr>
          <w:sz w:val="20"/>
        </w:rPr>
        <w:t xml:space="preserve">- 160 тысяч рублей на одно ското-место дойного стада крупного рогатого скота при строительстве животноводческого комплекса (фермы) по производству молока (животноводческого помещения для содержания дойного стада) мощностью 800 и более голов дойного стада крупного рогатого скота;</w:t>
      </w:r>
    </w:p>
    <w:p>
      <w:pPr>
        <w:pStyle w:val="0"/>
        <w:spacing w:before="200" w:lineRule="auto"/>
        <w:ind w:firstLine="540"/>
        <w:jc w:val="both"/>
      </w:pPr>
      <w:r>
        <w:rPr>
          <w:sz w:val="20"/>
        </w:rPr>
        <w:t xml:space="preserve">- 30 тысяч рублей на одно ското-место при строительстве животноводческого помещения для содержания сухостойных коров, в том числе родильного отделения, помещения для выращивания ремонтного молодняка крупного рогатого скота, помещения для содержания быков-производителей;</w:t>
      </w:r>
    </w:p>
    <w:p>
      <w:pPr>
        <w:pStyle w:val="0"/>
        <w:spacing w:before="200" w:lineRule="auto"/>
        <w:ind w:firstLine="540"/>
        <w:jc w:val="both"/>
      </w:pPr>
      <w:r>
        <w:rPr>
          <w:sz w:val="20"/>
        </w:rPr>
        <w:t xml:space="preserve">- 25 тысяч рублей на одно ското-место дойного стада мелкого рогатого скота.</w:t>
      </w:r>
    </w:p>
    <w:bookmarkStart w:id="136" w:name="P136"/>
    <w:bookmarkEnd w:id="136"/>
    <w:p>
      <w:pPr>
        <w:pStyle w:val="0"/>
        <w:spacing w:before="200" w:lineRule="auto"/>
        <w:ind w:firstLine="540"/>
        <w:jc w:val="both"/>
      </w:pPr>
      <w:r>
        <w:rPr>
          <w:sz w:val="20"/>
        </w:rPr>
        <w:t xml:space="preserve">2.9.2. Размер субсидии на реконструкцию рассчитывается по следующим ставкам:</w:t>
      </w:r>
    </w:p>
    <w:p>
      <w:pPr>
        <w:pStyle w:val="0"/>
        <w:spacing w:before="200" w:lineRule="auto"/>
        <w:ind w:firstLine="540"/>
        <w:jc w:val="both"/>
      </w:pPr>
      <w:r>
        <w:rPr>
          <w:sz w:val="20"/>
        </w:rPr>
        <w:t xml:space="preserve">- 40 тысяч рублей на одно ското-место дойного стада при реконструкции животноводческих помещений для содержания дойного стада крупного рогатого скота с заменой (установкой) доильного оборудования;</w:t>
      </w:r>
    </w:p>
    <w:p>
      <w:pPr>
        <w:pStyle w:val="0"/>
        <w:spacing w:before="200" w:lineRule="auto"/>
        <w:ind w:firstLine="540"/>
        <w:jc w:val="both"/>
      </w:pPr>
      <w:r>
        <w:rPr>
          <w:sz w:val="20"/>
        </w:rPr>
        <w:t xml:space="preserve">- 35 тысяч рублей на одно ското-место дойного стада при реконструкции животноводческих помещений для содержания дойного стада крупного рогатого скота без замены доильного оборудования;</w:t>
      </w:r>
    </w:p>
    <w:p>
      <w:pPr>
        <w:pStyle w:val="0"/>
        <w:spacing w:before="200" w:lineRule="auto"/>
        <w:ind w:firstLine="540"/>
        <w:jc w:val="both"/>
      </w:pPr>
      <w:r>
        <w:rPr>
          <w:sz w:val="20"/>
        </w:rPr>
        <w:t xml:space="preserve">- 25 тысяч рублей на одно ското-место при реконструкции животноводческих помещений для содержания сухостойных коров, в том числе родильных отделений, помещений для содержания быков-производителей и помещений для выращивания ремонтного молодняка крупного рогатого скота;</w:t>
      </w:r>
    </w:p>
    <w:p>
      <w:pPr>
        <w:pStyle w:val="0"/>
        <w:spacing w:before="200" w:lineRule="auto"/>
        <w:ind w:firstLine="540"/>
        <w:jc w:val="both"/>
      </w:pPr>
      <w:r>
        <w:rPr>
          <w:sz w:val="20"/>
        </w:rPr>
        <w:t xml:space="preserve">- 15 тысяч рублей на одно ското-место дойного стада мелкого рогатого скота при реконструкции животноводческих объектов для содержания дойного стада мелкого рогатого скота;</w:t>
      </w:r>
    </w:p>
    <w:p>
      <w:pPr>
        <w:pStyle w:val="0"/>
        <w:spacing w:before="200" w:lineRule="auto"/>
        <w:ind w:firstLine="540"/>
        <w:jc w:val="both"/>
      </w:pPr>
      <w:r>
        <w:rPr>
          <w:sz w:val="20"/>
        </w:rPr>
        <w:t xml:space="preserve">- 10 тысяч рублей на одно ското-место при реконструкции животноводческих объектов для содержания мелкого рогатого скота в сухостойный период, в том числе родильных отделений, помещений для выращивания ремонтного молодняка мелкого рогатого скота.</w:t>
      </w:r>
    </w:p>
    <w:p>
      <w:pPr>
        <w:pStyle w:val="0"/>
        <w:spacing w:before="200" w:lineRule="auto"/>
        <w:ind w:firstLine="540"/>
        <w:jc w:val="both"/>
      </w:pPr>
      <w:r>
        <w:rPr>
          <w:sz w:val="20"/>
        </w:rPr>
        <w:t xml:space="preserve">2.9.3. Общий объем субсидии, предоставляемой получателю субсидии в соответствии с настоящим Порядком, не должен превышать 50% прямых понесенных затрат на строительство (реконструкцию) животноводческого объекта, но не более 50% сметной стоимости строительства (реконструкции) животноводческого объекта.</w:t>
      </w:r>
    </w:p>
    <w:p>
      <w:pPr>
        <w:pStyle w:val="0"/>
        <w:spacing w:before="200" w:lineRule="auto"/>
        <w:ind w:firstLine="540"/>
        <w:jc w:val="both"/>
      </w:pPr>
      <w:r>
        <w:rPr>
          <w:sz w:val="20"/>
        </w:rPr>
        <w:t xml:space="preserve">2.9.4.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то размер субсидии (С) определяется по следующей формуле:</w:t>
      </w:r>
    </w:p>
    <w:p>
      <w:pPr>
        <w:pStyle w:val="0"/>
        <w:ind w:firstLine="540"/>
        <w:jc w:val="both"/>
      </w:pPr>
      <w:r>
        <w:rPr>
          <w:sz w:val="20"/>
        </w:rPr>
      </w:r>
    </w:p>
    <w:p>
      <w:pPr>
        <w:pStyle w:val="0"/>
        <w:jc w:val="center"/>
      </w:pPr>
      <w:r>
        <w:rPr>
          <w:sz w:val="20"/>
        </w:rPr>
        <w:t xml:space="preserve">С = Сп x К,</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Сп - размер субсидии, рассчитанный в соответствии с </w:t>
      </w:r>
      <w:hyperlink w:history="0" w:anchor="P127" w:tooltip="2.9.1. Предоставление субсидии осуществляется единовременно.">
        <w:r>
          <w:rPr>
            <w:sz w:val="20"/>
            <w:color w:val="0000ff"/>
          </w:rPr>
          <w:t xml:space="preserve">подпунктами 2.9.1</w:t>
        </w:r>
      </w:hyperlink>
      <w:r>
        <w:rPr>
          <w:sz w:val="20"/>
        </w:rPr>
        <w:t xml:space="preserve"> и (или) </w:t>
      </w:r>
      <w:hyperlink w:history="0" w:anchor="P136" w:tooltip="2.9.2. Размер субсидии на реконструкцию рассчитывается по следующим ставкам:">
        <w:r>
          <w:rPr>
            <w:sz w:val="20"/>
            <w:color w:val="0000ff"/>
          </w:rPr>
          <w:t xml:space="preserve">2.9.2</w:t>
        </w:r>
      </w:hyperlink>
      <w:r>
        <w:rPr>
          <w:sz w:val="20"/>
        </w:rPr>
        <w:t xml:space="preserve"> настоящего пункта;</w:t>
      </w:r>
    </w:p>
    <w:p>
      <w:pPr>
        <w:pStyle w:val="0"/>
        <w:spacing w:before="200" w:lineRule="auto"/>
        <w:ind w:firstLine="540"/>
        <w:jc w:val="both"/>
      </w:pPr>
      <w:r>
        <w:rPr>
          <w:sz w:val="20"/>
        </w:rPr>
        <w:t xml:space="preserve">К - коэффициент бюджетной обеспеченности, определяемый по следующей формуле:</w:t>
      </w:r>
    </w:p>
    <w:p>
      <w:pPr>
        <w:pStyle w:val="0"/>
        <w:ind w:firstLine="540"/>
        <w:jc w:val="both"/>
      </w:pPr>
      <w:r>
        <w:rPr>
          <w:sz w:val="20"/>
        </w:rPr>
      </w:r>
    </w:p>
    <w:p>
      <w:pPr>
        <w:pStyle w:val="0"/>
        <w:jc w:val="center"/>
      </w:pPr>
      <w:r>
        <w:rPr>
          <w:sz w:val="20"/>
        </w:rPr>
        <w:t xml:space="preserve">К = V / Vнач,</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лимитов бюджетных обязательств на предоставление субсидии;</w:t>
      </w:r>
    </w:p>
    <w:p>
      <w:pPr>
        <w:pStyle w:val="0"/>
        <w:spacing w:before="200" w:lineRule="auto"/>
        <w:ind w:firstLine="540"/>
        <w:jc w:val="both"/>
      </w:pPr>
      <w:r>
        <w:rPr>
          <w:sz w:val="20"/>
        </w:rPr>
        <w:t xml:space="preserve">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pPr>
        <w:pStyle w:val="0"/>
        <w:spacing w:before="200" w:lineRule="auto"/>
        <w:ind w:firstLine="540"/>
        <w:jc w:val="both"/>
      </w:pPr>
      <w:r>
        <w:rPr>
          <w:sz w:val="20"/>
        </w:rPr>
        <w:t xml:space="preserve">При условии V&gt;Vнач коэффициент К равен 1.</w:t>
      </w:r>
    </w:p>
    <w:p>
      <w:pPr>
        <w:pStyle w:val="0"/>
        <w:spacing w:before="200" w:lineRule="auto"/>
        <w:ind w:firstLine="540"/>
        <w:jc w:val="both"/>
      </w:pPr>
      <w:r>
        <w:rPr>
          <w:sz w:val="20"/>
        </w:rPr>
        <w:t xml:space="preserve">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pPr>
        <w:pStyle w:val="0"/>
        <w:spacing w:before="200" w:lineRule="auto"/>
        <w:ind w:firstLine="540"/>
        <w:jc w:val="both"/>
      </w:pPr>
      <w:r>
        <w:rPr>
          <w:sz w:val="20"/>
        </w:rPr>
        <w:t xml:space="preserve">2.9.5. Субсидии за период, в котором истекает срок строительства (реконструкции) животноводческих объектов для крупного рогатого скота в соответствии с календарным планом строительства (реконструкции), выплачиваются после исполнения получателями субсидии обязательств, указанных в </w:t>
      </w:r>
      <w:hyperlink w:history="0" w:anchor="P198" w:tooltip="ж) не позднее шести месяцев по окончании строительства (реконструкции) животноводческого объекта в соответствии с календарным планом строительства (реконструкции):">
        <w:r>
          <w:rPr>
            <w:sz w:val="20"/>
            <w:color w:val="0000ff"/>
          </w:rPr>
          <w:t xml:space="preserve">подпункте "ж" подпункта 3 подпункта 2.16.3 пункта 2.16</w:t>
        </w:r>
      </w:hyperlink>
      <w:r>
        <w:rPr>
          <w:sz w:val="20"/>
        </w:rPr>
        <w:t xml:space="preserve"> настоящего Порядка, а получателями субсидии на строительство животноводческого объекта для содержания дойного стада крупного рогатого скота - также обязательств, предусмотренных </w:t>
      </w:r>
      <w:hyperlink w:history="0" w:anchor="P204" w:tooltip="- увеличить поголовье дойного стада:">
        <w:r>
          <w:rPr>
            <w:sz w:val="20"/>
            <w:color w:val="0000ff"/>
          </w:rPr>
          <w:t xml:space="preserve">абзацами третьим</w:t>
        </w:r>
      </w:hyperlink>
      <w:r>
        <w:rPr>
          <w:sz w:val="20"/>
        </w:rPr>
        <w:t xml:space="preserve">, </w:t>
      </w:r>
      <w:hyperlink w:history="0" w:anchor="P205" w:tooltip="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w:r>
          <w:rPr>
            <w:sz w:val="20"/>
            <w:color w:val="0000ff"/>
          </w:rPr>
          <w:t xml:space="preserve">четвертым подпункта "з" подпункта 3 подпункта 2.16.3 пункта 2.16</w:t>
        </w:r>
      </w:hyperlink>
      <w:r>
        <w:rPr>
          <w:sz w:val="20"/>
        </w:rPr>
        <w:t xml:space="preserve"> настоящего Порядка.</w:t>
      </w:r>
    </w:p>
    <w:bookmarkStart w:id="159" w:name="P159"/>
    <w:bookmarkEnd w:id="159"/>
    <w:p>
      <w:pPr>
        <w:pStyle w:val="0"/>
        <w:spacing w:before="200" w:lineRule="auto"/>
        <w:ind w:firstLine="540"/>
        <w:jc w:val="both"/>
      </w:pPr>
      <w:r>
        <w:rPr>
          <w:sz w:val="20"/>
        </w:rPr>
        <w:t xml:space="preserve">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животноводческого объекта для содержания дойного стада и ухудшения условий содержания скота.</w:t>
      </w:r>
    </w:p>
    <w:p>
      <w:pPr>
        <w:pStyle w:val="0"/>
        <w:spacing w:before="200" w:lineRule="auto"/>
        <w:ind w:firstLine="540"/>
        <w:jc w:val="both"/>
      </w:pPr>
      <w:r>
        <w:rPr>
          <w:sz w:val="20"/>
        </w:rPr>
        <w:t xml:space="preserve">2.9.7. 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pPr>
        <w:pStyle w:val="0"/>
        <w:spacing w:before="200" w:lineRule="auto"/>
        <w:ind w:firstLine="540"/>
        <w:jc w:val="both"/>
      </w:pPr>
      <w:r>
        <w:rPr>
          <w:sz w:val="20"/>
        </w:rPr>
        <w:t xml:space="preserve">2.10.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и лимитов бюджетных обязательств на предоставление субсидии.</w:t>
      </w:r>
    </w:p>
    <w:p>
      <w:pPr>
        <w:pStyle w:val="0"/>
        <w:spacing w:before="200" w:lineRule="auto"/>
        <w:ind w:firstLine="540"/>
        <w:jc w:val="both"/>
      </w:pPr>
      <w:r>
        <w:rPr>
          <w:sz w:val="20"/>
        </w:rPr>
        <w:t xml:space="preserve">Источником финансового обеспечения субсидии являются средства областного бюджета.</w:t>
      </w:r>
    </w:p>
    <w:p>
      <w:pPr>
        <w:pStyle w:val="0"/>
        <w:spacing w:before="200" w:lineRule="auto"/>
        <w:ind w:firstLine="540"/>
        <w:jc w:val="both"/>
      </w:pPr>
      <w:r>
        <w:rPr>
          <w:sz w:val="20"/>
        </w:rPr>
        <w:t xml:space="preserve">2.11. Минсельхозпрод в срок, указанный в уведомлении, направляемом получателю субсидии в соответствии с </w:t>
      </w:r>
      <w:hyperlink w:history="0" w:anchor="P122" w:tooltip="Минсельхозпрод в течение 5 рабочих дней со дня принятия решения письменно информирует получателя субсидии о принятом решении путем направления ему уведомления.">
        <w:r>
          <w:rPr>
            <w:sz w:val="20"/>
            <w:color w:val="0000ff"/>
          </w:rPr>
          <w:t xml:space="preserve">абзацами пятым</w:t>
        </w:r>
      </w:hyperlink>
      <w:r>
        <w:rPr>
          <w:sz w:val="20"/>
        </w:rPr>
        <w:t xml:space="preserve">, </w:t>
      </w:r>
      <w:hyperlink w:history="0" w:anchor="P123" w:tooltip="В случае принятия решения о предоставлении субсидии в уведомлении указываются сроки заключения соглашения.">
        <w:r>
          <w:rPr>
            <w:sz w:val="20"/>
            <w:color w:val="0000ff"/>
          </w:rPr>
          <w:t xml:space="preserve">шестым пункта 2.8</w:t>
        </w:r>
      </w:hyperlink>
      <w:r>
        <w:rPr>
          <w:sz w:val="20"/>
        </w:rPr>
        <w:t xml:space="preserve"> настоящего Порядка, заключает с получателем субсидии соглашение.</w:t>
      </w:r>
    </w:p>
    <w:p>
      <w:pPr>
        <w:pStyle w:val="0"/>
        <w:spacing w:before="200" w:lineRule="auto"/>
        <w:ind w:firstLine="540"/>
        <w:jc w:val="both"/>
      </w:pPr>
      <w:r>
        <w:rPr>
          <w:sz w:val="20"/>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Нижегородской области для соглашений о предоставлении субсидий из областного бюджета, в личном кабинете сельскохозяйственного товаропроизводителя.</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21" w:tooltip="Федеральный закон от 11.06.2003 N 74-ФЗ (ред. от 31.07.2025)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00" w:lineRule="auto"/>
        <w:ind w:firstLine="540"/>
        <w:jc w:val="both"/>
      </w:pPr>
      <w:r>
        <w:rPr>
          <w:sz w:val="20"/>
        </w:rPr>
        <w:t xml:space="preserve">2.12. В соглашение включаются:</w:t>
      </w:r>
    </w:p>
    <w:p>
      <w:pPr>
        <w:pStyle w:val="0"/>
        <w:spacing w:before="200" w:lineRule="auto"/>
        <w:ind w:firstLine="540"/>
        <w:jc w:val="both"/>
      </w:pPr>
      <w:r>
        <w:rPr>
          <w:sz w:val="20"/>
        </w:rPr>
        <w:t xml:space="preserve">1) условия предоставления субсидии, указанные в </w:t>
      </w:r>
      <w:hyperlink w:history="0" w:anchor="P72" w:tooltip="2) наличие у получателя субсидии затрат, на возмещение которых предоставляется субсидия, по направлениям, указанным в пункте 1.6 настоящего Порядка;">
        <w:r>
          <w:rPr>
            <w:sz w:val="20"/>
            <w:color w:val="0000ff"/>
          </w:rPr>
          <w:t xml:space="preserve">подпунктах 2</w:t>
        </w:r>
      </w:hyperlink>
      <w:r>
        <w:rPr>
          <w:sz w:val="20"/>
        </w:rPr>
        <w:t xml:space="preserve"> - </w:t>
      </w:r>
      <w:hyperlink w:history="0" w:anchor="P74" w:tooltip="4) выполнение получателем субсидии обязательств, установленных в соглашении о реализации мероприятий, направленных на развитие молочного скотоводства, предусмотренном подпунктом &quot;ж&quot; подпункта 8 пункта 2.2 настоящего Порядка;">
        <w:r>
          <w:rPr>
            <w:sz w:val="20"/>
            <w:color w:val="0000ff"/>
          </w:rPr>
          <w:t xml:space="preserve">4 пункта 2.1</w:t>
        </w:r>
      </w:hyperlink>
      <w:r>
        <w:rPr>
          <w:sz w:val="20"/>
        </w:rPr>
        <w:t xml:space="preserve"> настоящего Порядка;</w:t>
      </w:r>
    </w:p>
    <w:p>
      <w:pPr>
        <w:pStyle w:val="0"/>
        <w:spacing w:before="200" w:lineRule="auto"/>
        <w:ind w:firstLine="540"/>
        <w:jc w:val="both"/>
      </w:pPr>
      <w:r>
        <w:rPr>
          <w:sz w:val="20"/>
        </w:rPr>
        <w:t xml:space="preserve">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3) обязательства получателя субсидии:</w:t>
      </w:r>
    </w:p>
    <w:p>
      <w:pPr>
        <w:pStyle w:val="0"/>
        <w:spacing w:before="200" w:lineRule="auto"/>
        <w:ind w:firstLine="540"/>
        <w:jc w:val="both"/>
      </w:pPr>
      <w:r>
        <w:rPr>
          <w:sz w:val="20"/>
        </w:rPr>
        <w:t xml:space="preserve">по представлению отчета о достижении значения результата предоставления субсидии;</w:t>
      </w:r>
    </w:p>
    <w:p>
      <w:pPr>
        <w:pStyle w:val="0"/>
        <w:spacing w:before="200" w:lineRule="auto"/>
        <w:ind w:firstLine="540"/>
        <w:jc w:val="both"/>
      </w:pPr>
      <w:r>
        <w:rPr>
          <w:sz w:val="20"/>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w:t>
      </w:r>
    </w:p>
    <w:p>
      <w:pPr>
        <w:pStyle w:val="0"/>
        <w:spacing w:before="200" w:lineRule="auto"/>
        <w:ind w:firstLine="540"/>
        <w:jc w:val="both"/>
      </w:pPr>
      <w:r>
        <w:rPr>
          <w:sz w:val="20"/>
        </w:rPr>
        <w:t xml:space="preserve">4) меры ответственности, предусмотренные </w:t>
      </w:r>
      <w:hyperlink w:history="0" w:anchor="P209" w:tooltip="3. Требования к представлению отчетности, об осуществлении">
        <w:r>
          <w:rPr>
            <w:sz w:val="20"/>
            <w:color w:val="0000ff"/>
          </w:rPr>
          <w:t xml:space="preserve">разделом 3</w:t>
        </w:r>
      </w:hyperlink>
      <w:r>
        <w:rPr>
          <w:sz w:val="20"/>
        </w:rPr>
        <w:t xml:space="preserve"> настоящего Порядка.</w:t>
      </w:r>
    </w:p>
    <w:p>
      <w:pPr>
        <w:pStyle w:val="0"/>
        <w:spacing w:before="200" w:lineRule="auto"/>
        <w:ind w:firstLine="540"/>
        <w:jc w:val="both"/>
      </w:pPr>
      <w:r>
        <w:rPr>
          <w:sz w:val="20"/>
        </w:rPr>
        <w:t xml:space="preserve">2.13. Достигнутым результатом предоставления субсидии является техническая готовность животноводческого объекта (%).</w:t>
      </w:r>
    </w:p>
    <w:p>
      <w:pPr>
        <w:pStyle w:val="0"/>
        <w:spacing w:before="200" w:lineRule="auto"/>
        <w:ind w:firstLine="540"/>
        <w:jc w:val="both"/>
      </w:pPr>
      <w:r>
        <w:rPr>
          <w:sz w:val="20"/>
        </w:rPr>
        <w:t xml:space="preserve">Результат предоставления субсидии соответствует цели предоставления субсидии, установленной в </w:t>
      </w:r>
      <w:hyperlink w:history="0" w:anchor="P59" w:tooltip="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quot;Предотвращение заноса, распространения и ликвидация африканской чумы свиней на территории Нижегородской области&quot;, являющегося структурным элементом государственной программы &quot;Развитие агропромышленного комплекса Нижегородской области&quot;, утвержденной постановлением Правительства Нижегородской области от 28 апреля 20...">
        <w:r>
          <w:rPr>
            <w:sz w:val="20"/>
            <w:color w:val="0000ff"/>
          </w:rPr>
          <w:t xml:space="preserve">пункте 1.3</w:t>
        </w:r>
      </w:hyperlink>
      <w:r>
        <w:rPr>
          <w:sz w:val="20"/>
        </w:rPr>
        <w:t xml:space="preserve"> настоящего Порядка, и типу результата предоставления субсидии "Строительство (реконструкция, техническое перевооружение, приобретение) объекта недвижимого имущества",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0"/>
        <w:spacing w:before="200" w:lineRule="auto"/>
        <w:ind w:firstLine="540"/>
        <w:jc w:val="both"/>
      </w:pPr>
      <w:r>
        <w:rPr>
          <w:sz w:val="20"/>
        </w:rPr>
        <w:t xml:space="preserve">2.14. Субсидия подлежит перечислению после санкционирования оплаты денежных обязательств в соответствии с </w:t>
      </w:r>
      <w:hyperlink w:history="0" r:id="rId22" w:tooltip="Приказ минфина Нижегородской области от 30.11.2010 N 156 (ред. от 18.11.2024) &quot;Об утверждении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quot; (Включен в Реестр нормативных актов органов исполнительной власти Нижегородской области 14.12.2010 N 02532-306-156) {КонсультантПлюс}">
        <w:r>
          <w:rPr>
            <w:sz w:val="20"/>
            <w:color w:val="0000ff"/>
          </w:rPr>
          <w:t xml:space="preserve">Порядком</w:t>
        </w:r>
      </w:hyperlink>
      <w:r>
        <w:rPr>
          <w:sz w:val="20"/>
        </w:rPr>
        <w:t xml:space="preserve">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 утвержденным приказом министерства финансов Нижегородской области от 30 ноября 2010 г. N 156, в пределах лимитов бюджетных обязательств на предоставление субсидии не позднее 10-го рабочего дня со дня составления сводного (дополнительного сводного) реестра получателей субсидии.</w:t>
      </w:r>
    </w:p>
    <w:p>
      <w:pPr>
        <w:pStyle w:val="0"/>
        <w:spacing w:before="200" w:lineRule="auto"/>
        <w:ind w:firstLine="540"/>
        <w:jc w:val="both"/>
      </w:pPr>
      <w:r>
        <w:rPr>
          <w:sz w:val="20"/>
        </w:rPr>
        <w:t xml:space="preserve">2.15. Субсидия перечисляется на расчетные счета получателей субсидии, открытые получателям субсидии в кредитных организациях и указанные в соглашениях.</w:t>
      </w:r>
    </w:p>
    <w:bookmarkStart w:id="179" w:name="P179"/>
    <w:bookmarkEnd w:id="179"/>
    <w:p>
      <w:pPr>
        <w:pStyle w:val="0"/>
        <w:spacing w:before="200" w:lineRule="auto"/>
        <w:ind w:firstLine="540"/>
        <w:jc w:val="both"/>
      </w:pPr>
      <w:r>
        <w:rPr>
          <w:sz w:val="20"/>
        </w:rPr>
        <w:t xml:space="preserve">2.16. Соглашение о строительстве (реконструкции) включает следующие обязательные условия:</w:t>
      </w:r>
    </w:p>
    <w:p>
      <w:pPr>
        <w:pStyle w:val="0"/>
        <w:spacing w:before="200" w:lineRule="auto"/>
        <w:ind w:firstLine="540"/>
        <w:jc w:val="both"/>
      </w:pPr>
      <w:r>
        <w:rPr>
          <w:sz w:val="20"/>
        </w:rPr>
        <w:t xml:space="preserve">2.16.1. Неотъемлемым приложением к Соглашению о строительстве (реконструкции) является календарный план строительства (реконструкции) животноводческого объекта с указанием (поквартально) объемов работ, их стоимости и объемов финансирования из областного бюджета.</w:t>
      </w:r>
    </w:p>
    <w:p>
      <w:pPr>
        <w:pStyle w:val="0"/>
        <w:spacing w:before="200" w:lineRule="auto"/>
        <w:ind w:firstLine="540"/>
        <w:jc w:val="both"/>
      </w:pPr>
      <w:r>
        <w:rPr>
          <w:sz w:val="20"/>
        </w:rPr>
        <w:t xml:space="preserve">Изменение календарного плана строительства (реконструкции) осуществляется путем внесения изменений в Соглашение о строительстве (реконструкции). В случае изменения календарного плана строительства (реконструкции) выплата субсидии осуществляется после подписания всеми сторонами и вступления в силу соответствующих изменений к Соглашению о строительстве (реконструкции).</w:t>
      </w:r>
    </w:p>
    <w:p>
      <w:pPr>
        <w:pStyle w:val="0"/>
        <w:spacing w:before="200" w:lineRule="auto"/>
        <w:ind w:firstLine="540"/>
        <w:jc w:val="both"/>
      </w:pPr>
      <w:r>
        <w:rPr>
          <w:sz w:val="20"/>
        </w:rPr>
        <w:t xml:space="preserve">2.16.2. Согласие получателя субсидии на осуществление ГКУ НО "Нижегородсельинвестстрой" и Управлением проверочных действий, указанных в </w:t>
      </w:r>
      <w:hyperlink w:history="0" w:anchor="P184" w:tooltip="1) обязательство ГКУ НО &quot;Нижегородсельинвестстрой&quot; осуществлять проверку соответствия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 с составлением справки по итогам проверки;">
        <w:r>
          <w:rPr>
            <w:sz w:val="20"/>
            <w:color w:val="0000ff"/>
          </w:rPr>
          <w:t xml:space="preserve">подпунктах 1</w:t>
        </w:r>
      </w:hyperlink>
      <w:r>
        <w:rPr>
          <w:sz w:val="20"/>
        </w:rPr>
        <w:t xml:space="preserve">, </w:t>
      </w:r>
      <w:hyperlink w:history="0" w:anchor="P185" w:tooltip="2) обязательства Управления:">
        <w:r>
          <w:rPr>
            <w:sz w:val="20"/>
            <w:color w:val="0000ff"/>
          </w:rPr>
          <w:t xml:space="preserve">2 подпункта 2.16.3</w:t>
        </w:r>
      </w:hyperlink>
      <w:r>
        <w:rPr>
          <w:sz w:val="20"/>
        </w:rPr>
        <w:t xml:space="preserve"> настоящего пункта.</w:t>
      </w:r>
    </w:p>
    <w:p>
      <w:pPr>
        <w:pStyle w:val="0"/>
        <w:spacing w:before="200" w:lineRule="auto"/>
        <w:ind w:firstLine="540"/>
        <w:jc w:val="both"/>
      </w:pPr>
      <w:r>
        <w:rPr>
          <w:sz w:val="20"/>
        </w:rPr>
        <w:t xml:space="preserve">2.16.3. Обязательства сторон:</w:t>
      </w:r>
    </w:p>
    <w:bookmarkStart w:id="184" w:name="P184"/>
    <w:bookmarkEnd w:id="184"/>
    <w:p>
      <w:pPr>
        <w:pStyle w:val="0"/>
        <w:spacing w:before="200" w:lineRule="auto"/>
        <w:ind w:firstLine="540"/>
        <w:jc w:val="both"/>
      </w:pPr>
      <w:r>
        <w:rPr>
          <w:sz w:val="20"/>
        </w:rPr>
        <w:t xml:space="preserve">1) обязательство ГКУ НО "Нижегородсельинвестстрой" осуществлять проверку соответствия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 с составлением справки по итогам проверки;</w:t>
      </w:r>
    </w:p>
    <w:bookmarkStart w:id="185" w:name="P185"/>
    <w:bookmarkEnd w:id="185"/>
    <w:p>
      <w:pPr>
        <w:pStyle w:val="0"/>
        <w:spacing w:before="200" w:lineRule="auto"/>
        <w:ind w:firstLine="540"/>
        <w:jc w:val="both"/>
      </w:pPr>
      <w:r>
        <w:rPr>
          <w:sz w:val="20"/>
        </w:rPr>
        <w:t xml:space="preserve">2) обязательства Управления:</w:t>
      </w:r>
    </w:p>
    <w:p>
      <w:pPr>
        <w:pStyle w:val="0"/>
        <w:spacing w:before="200" w:lineRule="auto"/>
        <w:ind w:firstLine="540"/>
        <w:jc w:val="both"/>
      </w:pPr>
      <w:r>
        <w:rPr>
          <w:sz w:val="20"/>
        </w:rPr>
        <w:t xml:space="preserve">а) в срок не позднее 7 календарных дней со дня обращения получателя субсидии осуществить проверку факта начала производственного процесса на животноводческом объекте, по результатам проверки составить акт о начале производственного процесса на животноводческом объекте по форме, утвержденной Минсельхозпродом (далее - Акт, подтверждающий начало производственного процесса), и передать его получателю субсидии и в Минсельхозпрод;</w:t>
      </w:r>
    </w:p>
    <w:p>
      <w:pPr>
        <w:pStyle w:val="0"/>
        <w:spacing w:before="200" w:lineRule="auto"/>
        <w:ind w:firstLine="540"/>
        <w:jc w:val="both"/>
      </w:pPr>
      <w:r>
        <w:rPr>
          <w:sz w:val="20"/>
        </w:rPr>
        <w:t xml:space="preserve">б) в течение пяти лет с даты составления Акта, подтверждающего начало производственного процесса, ежегодно производить пересчет поголовья дойного стада получателя субсидии по состоянию на 1 января, составлять акт пересчета скота по форме, утвержденной Минсельхозпродом, и не позднее 20 января того же года представлять его в Минсельхозпрод;</w:t>
      </w:r>
    </w:p>
    <w:p>
      <w:pPr>
        <w:pStyle w:val="0"/>
        <w:spacing w:before="200" w:lineRule="auto"/>
        <w:ind w:firstLine="540"/>
        <w:jc w:val="both"/>
      </w:pPr>
      <w:r>
        <w:rPr>
          <w:sz w:val="20"/>
        </w:rPr>
        <w:t xml:space="preserve">в) осуществить проверку фактов:</w:t>
      </w:r>
    </w:p>
    <w:p>
      <w:pPr>
        <w:pStyle w:val="0"/>
        <w:spacing w:before="200" w:lineRule="auto"/>
        <w:ind w:firstLine="540"/>
        <w:jc w:val="both"/>
      </w:pPr>
      <w:r>
        <w:rPr>
          <w:sz w:val="20"/>
        </w:rPr>
        <w:t xml:space="preserve">- увеличения поголовья дойного стада крупного рогатого скота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 в срок не позднее 7 календарных дней со дня обращения получателя субсидии, по результатам проверки составить акт, подтверждающий факт увеличения поголовья дойного стада крупного рогатого скота, по форме, утвержденной Минсельхозпродом (далее - Акт, подтверждающий увеличение поголовья), и передать его получателю субсидии и в Минсельхозпрод (в отношении получателей субсидии на строительство животноводческого объекта для содержания дойного стада крупного рогатого скота);</w:t>
      </w:r>
    </w:p>
    <w:p>
      <w:pPr>
        <w:pStyle w:val="0"/>
        <w:spacing w:before="200" w:lineRule="auto"/>
        <w:ind w:firstLine="540"/>
        <w:jc w:val="both"/>
      </w:pPr>
      <w:r>
        <w:rPr>
          <w:sz w:val="20"/>
        </w:rPr>
        <w:t xml:space="preserve">- увеличения поголовья дойного стада не менее чем до количества голов дойного стада, предусмотренного проектной документацией, - в срок не позднее 7 календарных дней с момента истечения сроков, установленных </w:t>
      </w:r>
      <w:hyperlink w:history="0" w:anchor="P206" w:tooltip="в случае строительства животноводческого объекта для содержания дойного стада крупного рогатого скота - не менее чем до количества голов дойного стада, предусмотренного проектной документацией, в течение трех лет с даты получения разрешения на ввод построенного животноводческого объекта в эксплуатацию;">
        <w:r>
          <w:rPr>
            <w:sz w:val="20"/>
            <w:color w:val="0000ff"/>
          </w:rPr>
          <w:t xml:space="preserve">абзацами пятым</w:t>
        </w:r>
      </w:hyperlink>
      <w:r>
        <w:rPr>
          <w:sz w:val="20"/>
        </w:rPr>
        <w:t xml:space="preserve"> - </w:t>
      </w:r>
      <w:hyperlink w:history="0" w:anchor="P207" w:tooltip="в случае строительства животноводческого объекта для содержания дойного стада мелкого рогатого скота - не менее чем до количества голов дойного стада, предусмотренного проектной документацией, в течение двух лет с даты получения разрешения на ввод построенного животноводческого объекта в эксплуатацию.">
        <w:r>
          <w:rPr>
            <w:sz w:val="20"/>
            <w:color w:val="0000ff"/>
          </w:rPr>
          <w:t xml:space="preserve">шестым подпункта "з" подпункта 2.16.3 пункта 2.16</w:t>
        </w:r>
      </w:hyperlink>
      <w:r>
        <w:rPr>
          <w:sz w:val="20"/>
        </w:rPr>
        <w:t xml:space="preserve"> настоящего Порядка (в отношении получателей субсидии на строительство);</w:t>
      </w:r>
    </w:p>
    <w:p>
      <w:pPr>
        <w:pStyle w:val="0"/>
        <w:spacing w:before="200" w:lineRule="auto"/>
        <w:ind w:firstLine="540"/>
        <w:jc w:val="both"/>
      </w:pPr>
      <w:r>
        <w:rPr>
          <w:sz w:val="20"/>
        </w:rPr>
        <w:t xml:space="preserve">3) обязательства получателя субсидии:</w:t>
      </w:r>
    </w:p>
    <w:p>
      <w:pPr>
        <w:pStyle w:val="0"/>
        <w:spacing w:before="200" w:lineRule="auto"/>
        <w:ind w:firstLine="540"/>
        <w:jc w:val="both"/>
      </w:pPr>
      <w:r>
        <w:rPr>
          <w:sz w:val="20"/>
        </w:rPr>
        <w:t xml:space="preserve">а) не снижать поголовье дойного стада по сравнению с уровнем поголовья на 1 января текущего года в течение срока действия Соглашения о строительстве (реконструкции) (для получателей, имевших по состоянию на 1 января текущего года поголовье дойного стада);</w:t>
      </w:r>
    </w:p>
    <w:p>
      <w:pPr>
        <w:pStyle w:val="0"/>
        <w:spacing w:before="200" w:lineRule="auto"/>
        <w:ind w:firstLine="540"/>
        <w:jc w:val="both"/>
      </w:pPr>
      <w:r>
        <w:rPr>
          <w:sz w:val="20"/>
        </w:rPr>
        <w:t xml:space="preserve">б) начать строительство (реконструкцию) животноводческого объекта не позднее 1 года с даты включения данного животноводческого объекта в Перечень;</w:t>
      </w:r>
    </w:p>
    <w:p>
      <w:pPr>
        <w:pStyle w:val="0"/>
        <w:spacing w:before="200" w:lineRule="auto"/>
        <w:ind w:firstLine="540"/>
        <w:jc w:val="both"/>
      </w:pPr>
      <w:r>
        <w:rPr>
          <w:sz w:val="20"/>
        </w:rPr>
        <w:t xml:space="preserve">в) представить в Минсельхозпрод выписку из Единого государственного реестра недвижимости, подтверждающую право собственности получателя субсидии на построенный животноводческий объект, в срок не позднее 31 декабря года, следующего за годом получения разрешения на ввод объекта в эксплуатацию (в случае осуществления строительства);</w:t>
      </w:r>
    </w:p>
    <w:p>
      <w:pPr>
        <w:pStyle w:val="0"/>
        <w:spacing w:before="200" w:lineRule="auto"/>
        <w:ind w:firstLine="540"/>
        <w:jc w:val="both"/>
      </w:pPr>
      <w:r>
        <w:rPr>
          <w:sz w:val="20"/>
        </w:rPr>
        <w:t xml:space="preserve">г) использовать построенный (реконструированный) животноводческий объект для целей, указанных в технико-экономическом обосновании проекта по строительству (реконструкции) объекта и проектной документации, представленных для включения животноводческого объекта в Перечень, в течение не менее пяти лет с даты ввода животноводческого объекта в эксплуатацию;</w:t>
      </w:r>
    </w:p>
    <w:p>
      <w:pPr>
        <w:pStyle w:val="0"/>
        <w:spacing w:before="200" w:lineRule="auto"/>
        <w:ind w:firstLine="540"/>
        <w:jc w:val="both"/>
      </w:pPr>
      <w:r>
        <w:rPr>
          <w:sz w:val="20"/>
        </w:rPr>
        <w:t xml:space="preserve">д) обеспечить соответствие выполненных строительных работ (работ по реконструкции)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pPr>
        <w:pStyle w:val="0"/>
        <w:spacing w:before="200" w:lineRule="auto"/>
        <w:ind w:firstLine="540"/>
        <w:jc w:val="both"/>
      </w:pPr>
      <w:r>
        <w:rPr>
          <w:sz w:val="20"/>
        </w:rPr>
        <w:t xml:space="preserve">е) сохранять в течение срока действия Соглашения о строительстве (реконструкции) уровень среднемесячной заработной платы не ниже полутора величин минимального размера оплаты труда (для получателей субсидии - юридических лиц);</w:t>
      </w:r>
    </w:p>
    <w:bookmarkStart w:id="198" w:name="P198"/>
    <w:bookmarkEnd w:id="198"/>
    <w:p>
      <w:pPr>
        <w:pStyle w:val="0"/>
        <w:spacing w:before="200" w:lineRule="auto"/>
        <w:ind w:firstLine="540"/>
        <w:jc w:val="both"/>
      </w:pPr>
      <w:r>
        <w:rPr>
          <w:sz w:val="20"/>
        </w:rPr>
        <w:t xml:space="preserve">ж) не позднее шести месяцев по окончании строительства (реконструкции) животноводческого объекта в соответствии с календарным планом строительства (реконструкции):</w:t>
      </w:r>
    </w:p>
    <w:p>
      <w:pPr>
        <w:pStyle w:val="0"/>
        <w:spacing w:before="200" w:lineRule="auto"/>
        <w:ind w:firstLine="540"/>
        <w:jc w:val="both"/>
      </w:pPr>
      <w:r>
        <w:rPr>
          <w:sz w:val="20"/>
        </w:rPr>
        <w:t xml:space="preserve">- представить в Управление заверенную получателем субсидии в установленном порядке копию разрешения на ввод объекта в эксплуатацию;</w:t>
      </w:r>
    </w:p>
    <w:p>
      <w:pPr>
        <w:pStyle w:val="0"/>
        <w:spacing w:before="200" w:lineRule="auto"/>
        <w:ind w:firstLine="540"/>
        <w:jc w:val="both"/>
      </w:pPr>
      <w:r>
        <w:rPr>
          <w:sz w:val="20"/>
        </w:rPr>
        <w:t xml:space="preserve">- разместить разрешение на ввод объекта в эксплуатацию в личном кабинете сельскохозяйственного товаропроизводителя на официальном сайте Минсельхозпрода;</w:t>
      </w:r>
    </w:p>
    <w:p>
      <w:pPr>
        <w:pStyle w:val="0"/>
        <w:spacing w:before="200" w:lineRule="auto"/>
        <w:ind w:firstLine="540"/>
        <w:jc w:val="both"/>
      </w:pPr>
      <w:r>
        <w:rPr>
          <w:sz w:val="20"/>
        </w:rPr>
        <w:t xml:space="preserve">- начать производственный процесс на животноводческом объекте;</w:t>
      </w:r>
    </w:p>
    <w:p>
      <w:pPr>
        <w:pStyle w:val="0"/>
        <w:spacing w:before="200" w:lineRule="auto"/>
        <w:ind w:firstLine="540"/>
        <w:jc w:val="both"/>
      </w:pPr>
      <w:r>
        <w:rPr>
          <w:sz w:val="20"/>
        </w:rPr>
        <w:t xml:space="preserve">з) дополнительные обязательства при предоставлении субсидии на строительство:</w:t>
      </w:r>
    </w:p>
    <w:p>
      <w:pPr>
        <w:pStyle w:val="0"/>
        <w:spacing w:before="200" w:lineRule="auto"/>
        <w:ind w:firstLine="540"/>
        <w:jc w:val="both"/>
      </w:pPr>
      <w:r>
        <w:rPr>
          <w:sz w:val="20"/>
        </w:rPr>
        <w:t xml:space="preserve">- не снижать поголовье дойного стада в течение пяти лет с даты составления Акта, подтверждающего начало производственного процесса, по сравнению с уровнем поголовья дойного стада на дату составления Акта, подтверждающего начало производственного процесса;</w:t>
      </w:r>
    </w:p>
    <w:bookmarkStart w:id="204" w:name="P204"/>
    <w:bookmarkEnd w:id="204"/>
    <w:p>
      <w:pPr>
        <w:pStyle w:val="0"/>
        <w:spacing w:before="200" w:lineRule="auto"/>
        <w:ind w:firstLine="540"/>
        <w:jc w:val="both"/>
      </w:pPr>
      <w:r>
        <w:rPr>
          <w:sz w:val="20"/>
        </w:rPr>
        <w:t xml:space="preserve">- увеличить поголовье дойного стада:</w:t>
      </w:r>
    </w:p>
    <w:bookmarkStart w:id="205" w:name="P205"/>
    <w:bookmarkEnd w:id="205"/>
    <w:p>
      <w:pPr>
        <w:pStyle w:val="0"/>
        <w:spacing w:before="200" w:lineRule="auto"/>
        <w:ind w:firstLine="540"/>
        <w:jc w:val="both"/>
      </w:pPr>
      <w:r>
        <w:rPr>
          <w:sz w:val="20"/>
        </w:rPr>
        <w:t xml:space="preserve">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w:t>
      </w:r>
    </w:p>
    <w:bookmarkStart w:id="206" w:name="P206"/>
    <w:bookmarkEnd w:id="206"/>
    <w:p>
      <w:pPr>
        <w:pStyle w:val="0"/>
        <w:spacing w:before="200" w:lineRule="auto"/>
        <w:ind w:firstLine="540"/>
        <w:jc w:val="both"/>
      </w:pPr>
      <w:r>
        <w:rPr>
          <w:sz w:val="20"/>
        </w:rPr>
        <w:t xml:space="preserve">в случае строительства животноводческого объекта для содержания дойного стада крупного рогатого скота - не менее чем до количества голов дойного стада, предусмотренного проектной документацией, в течение трех лет с даты получения разрешения на ввод построенного животноводческого объекта в эксплуатацию;</w:t>
      </w:r>
    </w:p>
    <w:bookmarkStart w:id="207" w:name="P207"/>
    <w:bookmarkEnd w:id="207"/>
    <w:p>
      <w:pPr>
        <w:pStyle w:val="0"/>
        <w:spacing w:before="200" w:lineRule="auto"/>
        <w:ind w:firstLine="540"/>
        <w:jc w:val="both"/>
      </w:pPr>
      <w:r>
        <w:rPr>
          <w:sz w:val="20"/>
        </w:rPr>
        <w:t xml:space="preserve">в случае строительства животноводческого объекта для содержания дойного стада мелкого рогатого скота - не менее чем до количества голов дойного стада, предусмотренного проектной документацией, в течение двух лет с даты получения разрешения на ввод построенного животноводческого объекта в эксплуатацию.</w:t>
      </w:r>
    </w:p>
    <w:p>
      <w:pPr>
        <w:pStyle w:val="0"/>
        <w:ind w:firstLine="540"/>
        <w:jc w:val="both"/>
      </w:pPr>
      <w:r>
        <w:rPr>
          <w:sz w:val="20"/>
        </w:rPr>
      </w:r>
    </w:p>
    <w:bookmarkStart w:id="209" w:name="P209"/>
    <w:bookmarkEnd w:id="209"/>
    <w:p>
      <w:pPr>
        <w:pStyle w:val="2"/>
        <w:outlineLvl w:val="1"/>
        <w:jc w:val="center"/>
      </w:pPr>
      <w:r>
        <w:rPr>
          <w:sz w:val="20"/>
        </w:rPr>
        <w:t xml:space="preserve">3. Требования к представлению отчетности, об осуществлении</w:t>
      </w:r>
    </w:p>
    <w:p>
      <w:pPr>
        <w:pStyle w:val="2"/>
        <w:jc w:val="center"/>
      </w:pPr>
      <w:r>
        <w:rPr>
          <w:sz w:val="20"/>
        </w:rPr>
        <w:t xml:space="preserve">контроля за соблюдением условий и порядка предоставления</w:t>
      </w:r>
    </w:p>
    <w:p>
      <w:pPr>
        <w:pStyle w:val="2"/>
        <w:jc w:val="center"/>
      </w:pPr>
      <w:r>
        <w:rPr>
          <w:sz w:val="20"/>
        </w:rPr>
        <w:t xml:space="preserve">субсидии и ответственности за их нарушение</w:t>
      </w:r>
    </w:p>
    <w:p>
      <w:pPr>
        <w:pStyle w:val="0"/>
        <w:ind w:firstLine="540"/>
        <w:jc w:val="both"/>
      </w:pPr>
      <w:r>
        <w:rPr>
          <w:sz w:val="20"/>
        </w:rPr>
      </w:r>
    </w:p>
    <w:bookmarkStart w:id="213" w:name="P213"/>
    <w:bookmarkEnd w:id="213"/>
    <w:p>
      <w:pPr>
        <w:pStyle w:val="0"/>
        <w:ind w:firstLine="540"/>
        <w:jc w:val="both"/>
      </w:pPr>
      <w:r>
        <w:rPr>
          <w:sz w:val="20"/>
        </w:rPr>
        <w:t xml:space="preserve">3.1. Получатель субсидии не позднее 15-го рабочего дня, следующего за днем заключения соглашения, представляет отчет о достижении значения результата предоставления субсидии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отчет), через личный кабинет сельскохозяйственного товаропроизводителя.</w:t>
      </w:r>
    </w:p>
    <w:p>
      <w:pPr>
        <w:pStyle w:val="0"/>
        <w:spacing w:before="200" w:lineRule="auto"/>
        <w:ind w:firstLine="540"/>
        <w:jc w:val="both"/>
      </w:pPr>
      <w:r>
        <w:rPr>
          <w:sz w:val="20"/>
        </w:rPr>
        <w:t xml:space="preserve">3.2. Получатели субсидии несут ответственность за достоверность представляемых в отчете сведений.</w:t>
      </w:r>
    </w:p>
    <w:p>
      <w:pPr>
        <w:pStyle w:val="0"/>
        <w:spacing w:before="200" w:lineRule="auto"/>
        <w:ind w:firstLine="540"/>
        <w:jc w:val="both"/>
      </w:pPr>
      <w:r>
        <w:rPr>
          <w:sz w:val="20"/>
        </w:rPr>
        <w:t xml:space="preserve">3.3. Минсельхозпрод в течение 30 календарных дней со дня поступления отчета в соответствии с </w:t>
      </w:r>
      <w:hyperlink w:history="0" w:anchor="P213" w:tooltip="3.1. Получатель субсидии не позднее 15-го рабочего дня, следующего за днем заключения соглашения, представляет отчет о достижении значения результата предоставления субсидии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отчет), через личный кабинет сельскохозяйственного товаропроизводителя.">
        <w:r>
          <w:rPr>
            <w:sz w:val="20"/>
            <w:color w:val="0000ff"/>
          </w:rPr>
          <w:t xml:space="preserve">пунктом 3.1</w:t>
        </w:r>
      </w:hyperlink>
      <w:r>
        <w:rPr>
          <w:sz w:val="20"/>
        </w:rPr>
        <w:t xml:space="preserve"> настоящего Порядка осуществляет его проверку.</w:t>
      </w:r>
    </w:p>
    <w:p>
      <w:pPr>
        <w:pStyle w:val="0"/>
        <w:spacing w:before="200" w:lineRule="auto"/>
        <w:ind w:firstLine="540"/>
        <w:jc w:val="both"/>
      </w:pPr>
      <w:r>
        <w:rPr>
          <w:sz w:val="20"/>
        </w:rPr>
        <w:t xml:space="preserve">По результатам проведенной проверки Минсельхозпрод либо принимает представленный получателем субсидии отчет, либо письменно уведомляет получателя субсидии о выявленных замечаниях и нарушениях, подлежащих корректировке, с указанием сроков повторного представления получателем субсидии отчета.</w:t>
      </w:r>
    </w:p>
    <w:p>
      <w:pPr>
        <w:pStyle w:val="0"/>
        <w:spacing w:before="200" w:lineRule="auto"/>
        <w:ind w:firstLine="540"/>
        <w:jc w:val="both"/>
      </w:pPr>
      <w:r>
        <w:rPr>
          <w:sz w:val="20"/>
        </w:rPr>
        <w:t xml:space="preserve">3.4. В отношении получателя субсидии осуществляются проверки:</w:t>
      </w:r>
    </w:p>
    <w:p>
      <w:pPr>
        <w:pStyle w:val="0"/>
        <w:spacing w:before="200" w:lineRule="auto"/>
        <w:ind w:firstLine="540"/>
        <w:jc w:val="both"/>
      </w:pPr>
      <w:r>
        <w:rPr>
          <w:sz w:val="20"/>
        </w:rPr>
        <w:t xml:space="preserve">- Минсельхозпродом - в части соблюдения условий и порядка предоставления субсидии, в том числе в части достижения результатов ее предоставления;</w:t>
      </w:r>
    </w:p>
    <w:p>
      <w:pPr>
        <w:pStyle w:val="0"/>
        <w:spacing w:before="200" w:lineRule="auto"/>
        <w:ind w:firstLine="540"/>
        <w:jc w:val="both"/>
      </w:pPr>
      <w:r>
        <w:rPr>
          <w:sz w:val="20"/>
        </w:rPr>
        <w:t xml:space="preserve">- органами государственного финансового контроля - в соответствии со </w:t>
      </w:r>
      <w:hyperlink w:history="0" r:id="rId23"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24"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bookmarkStart w:id="220" w:name="P220"/>
    <w:bookmarkEnd w:id="220"/>
    <w:p>
      <w:pPr>
        <w:pStyle w:val="0"/>
        <w:spacing w:before="200" w:lineRule="auto"/>
        <w:ind w:firstLine="540"/>
        <w:jc w:val="both"/>
      </w:pPr>
      <w:r>
        <w:rPr>
          <w:sz w:val="20"/>
        </w:rPr>
        <w:t xml:space="preserve">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0"/>
        <w:spacing w:before="200" w:lineRule="auto"/>
        <w:ind w:firstLine="540"/>
        <w:jc w:val="both"/>
      </w:pPr>
      <w:r>
        <w:rPr>
          <w:sz w:val="20"/>
        </w:rPr>
        <w:t xml:space="preserve">3.5.1.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Минсельхозпродом и (или) органами государственного финансового контроля, получатель субсидии обязан в соответствии с предписанием (требованием) вернуть в доход областного бюджета средства субсидии в размере, указанном в предписании (требовании).</w:t>
      </w:r>
    </w:p>
    <w:p>
      <w:pPr>
        <w:pStyle w:val="0"/>
        <w:spacing w:before="200" w:lineRule="auto"/>
        <w:ind w:firstLine="540"/>
        <w:jc w:val="both"/>
      </w:pPr>
      <w:r>
        <w:rPr>
          <w:sz w:val="20"/>
        </w:rPr>
        <w:t xml:space="preserve">3.5.2. Иные меры ответственности, предусмотренные </w:t>
      </w:r>
      <w:hyperlink w:history="0" r:id="rId2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3.6. Возврат субсидии осуществляется на основании:</w:t>
      </w:r>
    </w:p>
    <w:p>
      <w:pPr>
        <w:pStyle w:val="0"/>
        <w:spacing w:before="200" w:lineRule="auto"/>
        <w:ind w:firstLine="540"/>
        <w:jc w:val="both"/>
      </w:pPr>
      <w:r>
        <w:rPr>
          <w:sz w:val="20"/>
        </w:rPr>
        <w:t xml:space="preserve">- письменного требования Минсельхозпрода - в срок, не превышающий 30 календарных дней со дня его получения;</w:t>
      </w:r>
    </w:p>
    <w:p>
      <w:pPr>
        <w:pStyle w:val="0"/>
        <w:spacing w:before="200" w:lineRule="auto"/>
        <w:ind w:firstLine="540"/>
        <w:jc w:val="both"/>
      </w:pPr>
      <w:r>
        <w:rPr>
          <w:sz w:val="20"/>
        </w:rPr>
        <w:t xml:space="preserve">- предписания органа государственного финансового контроля - в установленные в предписании сроки.</w:t>
      </w:r>
    </w:p>
    <w:p>
      <w:pPr>
        <w:pStyle w:val="0"/>
        <w:spacing w:before="200" w:lineRule="auto"/>
        <w:ind w:firstLine="540"/>
        <w:jc w:val="both"/>
      </w:pPr>
      <w:r>
        <w:rPr>
          <w:sz w:val="20"/>
        </w:rPr>
        <w:t xml:space="preserve">3.7. Минсельхозпрод в течение 30 календарных дней со дня установления фактов, указанных в </w:t>
      </w:r>
      <w:hyperlink w:history="0" w:anchor="P220" w:tooltip="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
        <w:r>
          <w:rPr>
            <w:sz w:val="20"/>
            <w:color w:val="0000ff"/>
          </w:rPr>
          <w:t xml:space="preserve">пункте 3.5</w:t>
        </w:r>
      </w:hyperlink>
      <w:r>
        <w:rPr>
          <w:sz w:val="20"/>
        </w:rPr>
        <w:t xml:space="preserve"> настоящего Порядка, направляет получателю субсидии письменное требование о возврате суммы субсидии с указанием причины, послужившей основанием для возврата субсидии, и реквизитов для перечисления денежных средств.</w:t>
      </w:r>
    </w:p>
    <w:p>
      <w:pPr>
        <w:pStyle w:val="0"/>
        <w:spacing w:before="200" w:lineRule="auto"/>
        <w:ind w:firstLine="540"/>
        <w:jc w:val="both"/>
      </w:pPr>
      <w:r>
        <w:rPr>
          <w:sz w:val="20"/>
        </w:rPr>
        <w:t xml:space="preserve">3.8. Орган государственного финансового контроля направляет получателю субсидии предписание о возврате суммы субсидии в порядке и сроки, установленные в соответствии с бюджетным законодательством Российской Федерации.</w:t>
      </w:r>
    </w:p>
    <w:p>
      <w:pPr>
        <w:pStyle w:val="0"/>
        <w:spacing w:before="200" w:lineRule="auto"/>
        <w:ind w:firstLine="540"/>
        <w:jc w:val="both"/>
      </w:pPr>
      <w:r>
        <w:rPr>
          <w:sz w:val="20"/>
        </w:rPr>
        <w:t xml:space="preserve">3.9. Неисполнение обязательств по возврату субсидии в соответствии с </w:t>
      </w:r>
      <w:hyperlink w:history="0" w:anchor="P220" w:tooltip="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
        <w:r>
          <w:rPr>
            <w:sz w:val="20"/>
            <w:color w:val="0000ff"/>
          </w:rPr>
          <w:t xml:space="preserve">пунктом 3.5</w:t>
        </w:r>
      </w:hyperlink>
      <w:r>
        <w:rPr>
          <w:sz w:val="20"/>
        </w:rPr>
        <w:t xml:space="preserve"> настоящего Порядка является основанием для взыскания бюджетных средств, полученных в форме субсидии, в судебном порядке.</w:t>
      </w:r>
    </w:p>
    <w:p>
      <w:pPr>
        <w:pStyle w:val="0"/>
        <w:spacing w:before="200" w:lineRule="auto"/>
        <w:ind w:firstLine="540"/>
        <w:jc w:val="both"/>
      </w:pPr>
      <w:r>
        <w:rPr>
          <w:sz w:val="20"/>
        </w:rPr>
        <w:t xml:space="preserve">3.10. Основанием для освобождения получателей субсидии от применения мер ответственности, предусмотренных пунктом 3.5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00" w:lineRule="auto"/>
        <w:ind w:firstLine="540"/>
        <w:jc w:val="both"/>
      </w:pPr>
      <w:r>
        <w:rPr>
          <w:sz w:val="20"/>
        </w:rPr>
        <w:t xml:space="preserve">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00" w:lineRule="auto"/>
        <w:ind w:firstLine="540"/>
        <w:jc w:val="both"/>
      </w:pPr>
      <w:r>
        <w:rPr>
          <w:sz w:val="20"/>
        </w:rPr>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0"/>
        <w:spacing w:before="200" w:lineRule="auto"/>
        <w:ind w:firstLine="540"/>
        <w:jc w:val="both"/>
      </w:pPr>
      <w:r>
        <w:rPr>
          <w:sz w:val="20"/>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spacing w:before="200" w:lineRule="auto"/>
        <w:ind w:firstLine="540"/>
        <w:jc w:val="both"/>
      </w:pPr>
      <w:r>
        <w:rPr>
          <w:sz w:val="20"/>
        </w:rPr>
        <w:t xml:space="preserve">Минсельхозпрод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субсидии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предоставления из областного бюджета субсидии</w:t>
      </w:r>
    </w:p>
    <w:p>
      <w:pPr>
        <w:pStyle w:val="0"/>
        <w:jc w:val="right"/>
      </w:pPr>
      <w:r>
        <w:rPr>
          <w:sz w:val="20"/>
        </w:rPr>
        <w:t xml:space="preserve">на оказание государственной поддержки сельскохозяйственного</w:t>
      </w:r>
    </w:p>
    <w:p>
      <w:pPr>
        <w:pStyle w:val="0"/>
        <w:jc w:val="right"/>
      </w:pPr>
      <w:r>
        <w:rPr>
          <w:sz w:val="20"/>
        </w:rPr>
        <w:t xml:space="preserve">производства на возмещение части затрат на развитие</w:t>
      </w:r>
    </w:p>
    <w:p>
      <w:pPr>
        <w:pStyle w:val="0"/>
        <w:jc w:val="right"/>
      </w:pPr>
      <w:r>
        <w:rPr>
          <w:sz w:val="20"/>
        </w:rPr>
        <w:t xml:space="preserve">молочного скотоводства</w:t>
      </w:r>
    </w:p>
    <w:p>
      <w:pPr>
        <w:pStyle w:val="0"/>
        <w:ind w:firstLine="540"/>
        <w:jc w:val="both"/>
      </w:pPr>
      <w:r>
        <w:rPr>
          <w:sz w:val="20"/>
        </w:rPr>
      </w:r>
    </w:p>
    <w:bookmarkStart w:id="245" w:name="P245"/>
    <w:bookmarkEnd w:id="245"/>
    <w:p>
      <w:pPr>
        <w:pStyle w:val="2"/>
        <w:jc w:val="center"/>
      </w:pPr>
      <w:r>
        <w:rPr>
          <w:sz w:val="20"/>
        </w:rPr>
        <w:t xml:space="preserve">ПЕРЕЧЕНЬ</w:t>
      </w:r>
    </w:p>
    <w:p>
      <w:pPr>
        <w:pStyle w:val="2"/>
        <w:jc w:val="center"/>
      </w:pPr>
      <w:r>
        <w:rPr>
          <w:sz w:val="20"/>
        </w:rPr>
        <w:t xml:space="preserve">ПОЛУЧАТЕЛЕЙ СУБСИДИИ НА ОКАЗАНИЕ ГОСУДАРСТВЕННОЙ ПОДДЕРЖКИ</w:t>
      </w:r>
    </w:p>
    <w:p>
      <w:pPr>
        <w:pStyle w:val="2"/>
        <w:jc w:val="center"/>
      </w:pPr>
      <w:r>
        <w:rPr>
          <w:sz w:val="20"/>
        </w:rPr>
        <w:t xml:space="preserve">СЕЛЬСКОХОЗЯЙСТВЕННОГО ПРОИЗВОДСТВА НА ВОЗМЕЩЕНИЕ ЧАСТИ</w:t>
      </w:r>
    </w:p>
    <w:p>
      <w:pPr>
        <w:pStyle w:val="2"/>
        <w:jc w:val="center"/>
      </w:pPr>
      <w:r>
        <w:rPr>
          <w:sz w:val="20"/>
        </w:rPr>
        <w:t xml:space="preserve">ЗАТРАТ НА РАЗВИТИЕ МОЛОЧНОГО СКОТОВОДСТВА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6350"/>
        <w:gridCol w:w="2041"/>
      </w:tblGrid>
      <w:tr>
        <w:tc>
          <w:tcPr>
            <w:tcW w:w="660" w:type="dxa"/>
          </w:tcPr>
          <w:p>
            <w:pPr>
              <w:pStyle w:val="0"/>
              <w:jc w:val="center"/>
            </w:pPr>
            <w:r>
              <w:rPr>
                <w:sz w:val="20"/>
              </w:rPr>
              <w:t xml:space="preserve">N п/п</w:t>
            </w:r>
          </w:p>
        </w:tc>
        <w:tc>
          <w:tcPr>
            <w:tcW w:w="6350" w:type="dxa"/>
          </w:tcPr>
          <w:p>
            <w:pPr>
              <w:pStyle w:val="0"/>
              <w:jc w:val="center"/>
            </w:pPr>
            <w:r>
              <w:rPr>
                <w:sz w:val="20"/>
              </w:rPr>
              <w:t xml:space="preserve">Наименование получателя субсидии</w:t>
            </w:r>
          </w:p>
        </w:tc>
        <w:tc>
          <w:tcPr>
            <w:tcW w:w="2041" w:type="dxa"/>
          </w:tcPr>
          <w:p>
            <w:pPr>
              <w:pStyle w:val="0"/>
              <w:jc w:val="center"/>
            </w:pPr>
            <w:r>
              <w:rPr>
                <w:sz w:val="20"/>
              </w:rPr>
              <w:t xml:space="preserve">ИНН получателя субсидии</w:t>
            </w:r>
          </w:p>
        </w:tc>
      </w:tr>
      <w:tr>
        <w:tc>
          <w:tcPr>
            <w:tcW w:w="660" w:type="dxa"/>
          </w:tcPr>
          <w:p>
            <w:pPr>
              <w:pStyle w:val="0"/>
              <w:jc w:val="center"/>
            </w:pPr>
            <w:r>
              <w:rPr>
                <w:sz w:val="20"/>
              </w:rPr>
              <w:t xml:space="preserve">1.</w:t>
            </w:r>
          </w:p>
        </w:tc>
        <w:tc>
          <w:tcPr>
            <w:tcW w:w="6350" w:type="dxa"/>
          </w:tcPr>
          <w:p>
            <w:pPr>
              <w:pStyle w:val="0"/>
              <w:jc w:val="center"/>
            </w:pPr>
            <w:r>
              <w:rPr>
                <w:sz w:val="20"/>
              </w:rPr>
              <w:t xml:space="preserve">Общество с ограниченной ответственностью "Никитино"</w:t>
            </w:r>
          </w:p>
        </w:tc>
        <w:tc>
          <w:tcPr>
            <w:tcW w:w="2041" w:type="dxa"/>
          </w:tcPr>
          <w:p>
            <w:pPr>
              <w:pStyle w:val="0"/>
              <w:jc w:val="center"/>
            </w:pPr>
            <w:r>
              <w:rPr>
                <w:sz w:val="20"/>
              </w:rPr>
              <w:t xml:space="preserve">5235006440</w:t>
            </w:r>
          </w:p>
        </w:tc>
      </w:tr>
      <w:tr>
        <w:tc>
          <w:tcPr>
            <w:tcW w:w="660" w:type="dxa"/>
          </w:tcPr>
          <w:p>
            <w:pPr>
              <w:pStyle w:val="0"/>
              <w:jc w:val="center"/>
            </w:pPr>
            <w:r>
              <w:rPr>
                <w:sz w:val="20"/>
              </w:rPr>
              <w:t xml:space="preserve">2.</w:t>
            </w:r>
          </w:p>
        </w:tc>
        <w:tc>
          <w:tcPr>
            <w:tcW w:w="6350" w:type="dxa"/>
          </w:tcPr>
          <w:p>
            <w:pPr>
              <w:pStyle w:val="0"/>
              <w:jc w:val="center"/>
            </w:pPr>
            <w:r>
              <w:rPr>
                <w:sz w:val="20"/>
              </w:rPr>
              <w:t xml:space="preserve">Общество с ограниченной ответственностью "Бутурлинское Зерно"</w:t>
            </w:r>
          </w:p>
        </w:tc>
        <w:tc>
          <w:tcPr>
            <w:tcW w:w="2041" w:type="dxa"/>
          </w:tcPr>
          <w:p>
            <w:pPr>
              <w:pStyle w:val="0"/>
              <w:jc w:val="center"/>
            </w:pPr>
            <w:r>
              <w:rPr>
                <w:sz w:val="20"/>
              </w:rPr>
              <w:t xml:space="preserve">5205004622</w:t>
            </w:r>
          </w:p>
        </w:tc>
      </w:tr>
      <w:tr>
        <w:tc>
          <w:tcPr>
            <w:tcW w:w="660" w:type="dxa"/>
          </w:tcPr>
          <w:p>
            <w:pPr>
              <w:pStyle w:val="0"/>
              <w:jc w:val="center"/>
            </w:pPr>
            <w:r>
              <w:rPr>
                <w:sz w:val="20"/>
              </w:rPr>
              <w:t xml:space="preserve">3.</w:t>
            </w:r>
          </w:p>
        </w:tc>
        <w:tc>
          <w:tcPr>
            <w:tcW w:w="6350" w:type="dxa"/>
          </w:tcPr>
          <w:p>
            <w:pPr>
              <w:pStyle w:val="0"/>
              <w:jc w:val="center"/>
            </w:pPr>
            <w:r>
              <w:rPr>
                <w:sz w:val="20"/>
              </w:rPr>
              <w:t xml:space="preserve">Общество с ограниченной ответственностью "Исток"</w:t>
            </w:r>
          </w:p>
        </w:tc>
        <w:tc>
          <w:tcPr>
            <w:tcW w:w="2041" w:type="dxa"/>
          </w:tcPr>
          <w:p>
            <w:pPr>
              <w:pStyle w:val="0"/>
              <w:jc w:val="center"/>
            </w:pPr>
            <w:r>
              <w:rPr>
                <w:sz w:val="20"/>
              </w:rPr>
              <w:t xml:space="preserve">5244001382</w:t>
            </w:r>
          </w:p>
        </w:tc>
      </w:tr>
      <w:tr>
        <w:tc>
          <w:tcPr>
            <w:tcW w:w="660" w:type="dxa"/>
          </w:tcPr>
          <w:p>
            <w:pPr>
              <w:pStyle w:val="0"/>
              <w:jc w:val="center"/>
            </w:pPr>
            <w:r>
              <w:rPr>
                <w:sz w:val="20"/>
              </w:rPr>
              <w:t xml:space="preserve">4.</w:t>
            </w:r>
          </w:p>
        </w:tc>
        <w:tc>
          <w:tcPr>
            <w:tcW w:w="6350" w:type="dxa"/>
          </w:tcPr>
          <w:p>
            <w:pPr>
              <w:pStyle w:val="0"/>
              <w:jc w:val="center"/>
            </w:pPr>
            <w:r>
              <w:rPr>
                <w:sz w:val="20"/>
              </w:rPr>
              <w:t xml:space="preserve">Общество с ограниченной ответственностью "Новый век"</w:t>
            </w:r>
          </w:p>
        </w:tc>
        <w:tc>
          <w:tcPr>
            <w:tcW w:w="2041" w:type="dxa"/>
          </w:tcPr>
          <w:p>
            <w:pPr>
              <w:pStyle w:val="0"/>
              <w:jc w:val="center"/>
            </w:pPr>
            <w:r>
              <w:rPr>
                <w:sz w:val="20"/>
              </w:rPr>
              <w:t xml:space="preserve">5237002995</w:t>
            </w:r>
          </w:p>
        </w:tc>
      </w:tr>
      <w:tr>
        <w:tc>
          <w:tcPr>
            <w:tcW w:w="660" w:type="dxa"/>
          </w:tcPr>
          <w:p>
            <w:pPr>
              <w:pStyle w:val="0"/>
              <w:jc w:val="center"/>
            </w:pPr>
            <w:r>
              <w:rPr>
                <w:sz w:val="20"/>
              </w:rPr>
              <w:t xml:space="preserve">5.</w:t>
            </w:r>
          </w:p>
        </w:tc>
        <w:tc>
          <w:tcPr>
            <w:tcW w:w="6350" w:type="dxa"/>
          </w:tcPr>
          <w:p>
            <w:pPr>
              <w:pStyle w:val="0"/>
              <w:jc w:val="center"/>
            </w:pPr>
            <w:r>
              <w:rPr>
                <w:sz w:val="20"/>
              </w:rPr>
              <w:t xml:space="preserve">Сельскохозяйственный производственный кооператив (колхоз) им. К. Маркса</w:t>
            </w:r>
          </w:p>
        </w:tc>
        <w:tc>
          <w:tcPr>
            <w:tcW w:w="2041" w:type="dxa"/>
          </w:tcPr>
          <w:p>
            <w:pPr>
              <w:pStyle w:val="0"/>
              <w:jc w:val="center"/>
            </w:pPr>
            <w:r>
              <w:rPr>
                <w:sz w:val="20"/>
              </w:rPr>
              <w:t xml:space="preserve">5213001858</w:t>
            </w:r>
          </w:p>
        </w:tc>
      </w:tr>
      <w:tr>
        <w:tc>
          <w:tcPr>
            <w:tcW w:w="660" w:type="dxa"/>
          </w:tcPr>
          <w:p>
            <w:pPr>
              <w:pStyle w:val="0"/>
              <w:jc w:val="center"/>
            </w:pPr>
            <w:r>
              <w:rPr>
                <w:sz w:val="20"/>
              </w:rPr>
              <w:t xml:space="preserve">6.</w:t>
            </w:r>
          </w:p>
        </w:tc>
        <w:tc>
          <w:tcPr>
            <w:tcW w:w="6350" w:type="dxa"/>
          </w:tcPr>
          <w:p>
            <w:pPr>
              <w:pStyle w:val="0"/>
              <w:jc w:val="center"/>
            </w:pPr>
            <w:r>
              <w:rPr>
                <w:sz w:val="20"/>
              </w:rPr>
              <w:t xml:space="preserve">Сельскохозяйственный производственный кооператив "Березники"</w:t>
            </w:r>
          </w:p>
        </w:tc>
        <w:tc>
          <w:tcPr>
            <w:tcW w:w="2041" w:type="dxa"/>
          </w:tcPr>
          <w:p>
            <w:pPr>
              <w:pStyle w:val="0"/>
              <w:jc w:val="center"/>
            </w:pPr>
            <w:r>
              <w:rPr>
                <w:sz w:val="20"/>
              </w:rPr>
              <w:t xml:space="preserve">5213001985</w:t>
            </w:r>
          </w:p>
        </w:tc>
      </w:tr>
      <w:tr>
        <w:tc>
          <w:tcPr>
            <w:tcW w:w="660" w:type="dxa"/>
          </w:tcPr>
          <w:p>
            <w:pPr>
              <w:pStyle w:val="0"/>
              <w:jc w:val="center"/>
            </w:pPr>
            <w:r>
              <w:rPr>
                <w:sz w:val="20"/>
              </w:rPr>
              <w:t xml:space="preserve">7.</w:t>
            </w:r>
          </w:p>
        </w:tc>
        <w:tc>
          <w:tcPr>
            <w:tcW w:w="6350" w:type="dxa"/>
          </w:tcPr>
          <w:p>
            <w:pPr>
              <w:pStyle w:val="0"/>
              <w:jc w:val="center"/>
            </w:pPr>
            <w:r>
              <w:rPr>
                <w:sz w:val="20"/>
              </w:rPr>
              <w:t xml:space="preserve">Сельскохозяйственный производственный кооператив (колхоз) "Деяновский"</w:t>
            </w:r>
          </w:p>
        </w:tc>
        <w:tc>
          <w:tcPr>
            <w:tcW w:w="2041" w:type="dxa"/>
          </w:tcPr>
          <w:p>
            <w:pPr>
              <w:pStyle w:val="0"/>
              <w:jc w:val="center"/>
            </w:pPr>
            <w:r>
              <w:rPr>
                <w:sz w:val="20"/>
              </w:rPr>
              <w:t xml:space="preserve">5226012215</w:t>
            </w:r>
          </w:p>
        </w:tc>
      </w:tr>
      <w:tr>
        <w:tc>
          <w:tcPr>
            <w:tcW w:w="660" w:type="dxa"/>
          </w:tcPr>
          <w:p>
            <w:pPr>
              <w:pStyle w:val="0"/>
              <w:jc w:val="center"/>
            </w:pPr>
            <w:r>
              <w:rPr>
                <w:sz w:val="20"/>
              </w:rPr>
              <w:t xml:space="preserve">8.</w:t>
            </w:r>
          </w:p>
        </w:tc>
        <w:tc>
          <w:tcPr>
            <w:tcW w:w="6350" w:type="dxa"/>
          </w:tcPr>
          <w:p>
            <w:pPr>
              <w:pStyle w:val="0"/>
              <w:jc w:val="center"/>
            </w:pPr>
            <w:r>
              <w:rPr>
                <w:sz w:val="20"/>
              </w:rPr>
              <w:t xml:space="preserve">Общество с ограниченной ответственностью "МИР"</w:t>
            </w:r>
          </w:p>
        </w:tc>
        <w:tc>
          <w:tcPr>
            <w:tcW w:w="2041" w:type="dxa"/>
          </w:tcPr>
          <w:p>
            <w:pPr>
              <w:pStyle w:val="0"/>
              <w:jc w:val="center"/>
            </w:pPr>
            <w:r>
              <w:rPr>
                <w:sz w:val="20"/>
              </w:rPr>
              <w:t xml:space="preserve">5203003260</w:t>
            </w:r>
          </w:p>
        </w:tc>
      </w:tr>
      <w:tr>
        <w:tc>
          <w:tcPr>
            <w:tcW w:w="660" w:type="dxa"/>
          </w:tcPr>
          <w:p>
            <w:pPr>
              <w:pStyle w:val="0"/>
              <w:jc w:val="center"/>
            </w:pPr>
            <w:r>
              <w:rPr>
                <w:sz w:val="20"/>
              </w:rPr>
              <w:t xml:space="preserve">9.</w:t>
            </w:r>
          </w:p>
        </w:tc>
        <w:tc>
          <w:tcPr>
            <w:tcW w:w="6350" w:type="dxa"/>
          </w:tcPr>
          <w:p>
            <w:pPr>
              <w:pStyle w:val="0"/>
              <w:jc w:val="center"/>
            </w:pPr>
            <w:r>
              <w:rPr>
                <w:sz w:val="20"/>
              </w:rPr>
              <w:t xml:space="preserve">Общество с ограниченной ответственностью "КМ Агро"</w:t>
            </w:r>
          </w:p>
        </w:tc>
        <w:tc>
          <w:tcPr>
            <w:tcW w:w="2041" w:type="dxa"/>
          </w:tcPr>
          <w:p>
            <w:pPr>
              <w:pStyle w:val="0"/>
              <w:jc w:val="center"/>
            </w:pPr>
            <w:r>
              <w:rPr>
                <w:sz w:val="20"/>
              </w:rPr>
              <w:t xml:space="preserve">5217003856</w:t>
            </w:r>
          </w:p>
        </w:tc>
      </w:tr>
      <w:tr>
        <w:tc>
          <w:tcPr>
            <w:tcW w:w="660" w:type="dxa"/>
          </w:tcPr>
          <w:p>
            <w:pPr>
              <w:pStyle w:val="0"/>
              <w:jc w:val="center"/>
            </w:pPr>
            <w:r>
              <w:rPr>
                <w:sz w:val="20"/>
              </w:rPr>
              <w:t xml:space="preserve">10.</w:t>
            </w:r>
          </w:p>
        </w:tc>
        <w:tc>
          <w:tcPr>
            <w:tcW w:w="6350" w:type="dxa"/>
          </w:tcPr>
          <w:p>
            <w:pPr>
              <w:pStyle w:val="0"/>
              <w:jc w:val="center"/>
            </w:pPr>
            <w:r>
              <w:rPr>
                <w:sz w:val="20"/>
              </w:rPr>
              <w:t xml:space="preserve">Товарищество на вере "Михеев и Компания"</w:t>
            </w:r>
          </w:p>
        </w:tc>
        <w:tc>
          <w:tcPr>
            <w:tcW w:w="2041" w:type="dxa"/>
          </w:tcPr>
          <w:p>
            <w:pPr>
              <w:pStyle w:val="0"/>
              <w:jc w:val="center"/>
            </w:pPr>
            <w:r>
              <w:rPr>
                <w:sz w:val="20"/>
              </w:rPr>
              <w:t xml:space="preserve">5205000032</w:t>
            </w:r>
          </w:p>
        </w:tc>
      </w:tr>
      <w:tr>
        <w:tc>
          <w:tcPr>
            <w:tcW w:w="660" w:type="dxa"/>
          </w:tcPr>
          <w:p>
            <w:pPr>
              <w:pStyle w:val="0"/>
              <w:jc w:val="center"/>
            </w:pPr>
            <w:r>
              <w:rPr>
                <w:sz w:val="20"/>
              </w:rPr>
              <w:t xml:space="preserve">11.</w:t>
            </w:r>
          </w:p>
        </w:tc>
        <w:tc>
          <w:tcPr>
            <w:tcW w:w="6350" w:type="dxa"/>
          </w:tcPr>
          <w:p>
            <w:pPr>
              <w:pStyle w:val="0"/>
              <w:jc w:val="center"/>
            </w:pPr>
            <w:r>
              <w:rPr>
                <w:sz w:val="20"/>
              </w:rPr>
              <w:t xml:space="preserve">Крестьянское (фермерское) хозяйство, главой которого является Сабитов Рустям Сафаович</w:t>
            </w:r>
          </w:p>
        </w:tc>
        <w:tc>
          <w:tcPr>
            <w:tcW w:w="2041" w:type="dxa"/>
          </w:tcPr>
          <w:p>
            <w:pPr>
              <w:pStyle w:val="0"/>
              <w:jc w:val="center"/>
            </w:pPr>
            <w:r>
              <w:rPr>
                <w:sz w:val="20"/>
              </w:rPr>
              <w:t xml:space="preserve">522600077654</w:t>
            </w:r>
          </w:p>
        </w:tc>
      </w:tr>
      <w:tr>
        <w:tc>
          <w:tcPr>
            <w:tcW w:w="660" w:type="dxa"/>
          </w:tcPr>
          <w:p>
            <w:pPr>
              <w:pStyle w:val="0"/>
              <w:jc w:val="center"/>
            </w:pPr>
            <w:r>
              <w:rPr>
                <w:sz w:val="20"/>
              </w:rPr>
              <w:t xml:space="preserve">12.</w:t>
            </w:r>
          </w:p>
        </w:tc>
        <w:tc>
          <w:tcPr>
            <w:tcW w:w="6350" w:type="dxa"/>
          </w:tcPr>
          <w:p>
            <w:pPr>
              <w:pStyle w:val="0"/>
              <w:jc w:val="center"/>
            </w:pPr>
            <w:r>
              <w:rPr>
                <w:sz w:val="20"/>
              </w:rPr>
              <w:t xml:space="preserve">Сельскохозяйственный производственный кооператив (колхоз) "Петряксинский"</w:t>
            </w:r>
          </w:p>
        </w:tc>
        <w:tc>
          <w:tcPr>
            <w:tcW w:w="2041" w:type="dxa"/>
          </w:tcPr>
          <w:p>
            <w:pPr>
              <w:pStyle w:val="0"/>
              <w:jc w:val="center"/>
            </w:pPr>
            <w:r>
              <w:rPr>
                <w:sz w:val="20"/>
              </w:rPr>
              <w:t xml:space="preserve">5226012141</w:t>
            </w:r>
          </w:p>
        </w:tc>
      </w:tr>
      <w:tr>
        <w:tc>
          <w:tcPr>
            <w:tcW w:w="660" w:type="dxa"/>
          </w:tcPr>
          <w:p>
            <w:pPr>
              <w:pStyle w:val="0"/>
              <w:jc w:val="center"/>
            </w:pPr>
            <w:r>
              <w:rPr>
                <w:sz w:val="20"/>
              </w:rPr>
              <w:t xml:space="preserve">13.</w:t>
            </w:r>
          </w:p>
        </w:tc>
        <w:tc>
          <w:tcPr>
            <w:tcW w:w="6350" w:type="dxa"/>
          </w:tcPr>
          <w:p>
            <w:pPr>
              <w:pStyle w:val="0"/>
              <w:jc w:val="center"/>
            </w:pPr>
            <w:r>
              <w:rPr>
                <w:sz w:val="20"/>
              </w:rPr>
              <w:t xml:space="preserve">Общество с ограниченной ответственностью "Керженецкие просторы"</w:t>
            </w:r>
          </w:p>
        </w:tc>
        <w:tc>
          <w:tcPr>
            <w:tcW w:w="2041" w:type="dxa"/>
          </w:tcPr>
          <w:p>
            <w:pPr>
              <w:pStyle w:val="0"/>
              <w:jc w:val="center"/>
            </w:pPr>
            <w:r>
              <w:rPr>
                <w:sz w:val="20"/>
              </w:rPr>
              <w:t xml:space="preserve">5228056842</w:t>
            </w:r>
          </w:p>
        </w:tc>
      </w:tr>
      <w:tr>
        <w:tc>
          <w:tcPr>
            <w:tcW w:w="660" w:type="dxa"/>
          </w:tcPr>
          <w:p>
            <w:pPr>
              <w:pStyle w:val="0"/>
              <w:jc w:val="center"/>
            </w:pPr>
            <w:r>
              <w:rPr>
                <w:sz w:val="20"/>
              </w:rPr>
              <w:t xml:space="preserve">14.</w:t>
            </w:r>
          </w:p>
        </w:tc>
        <w:tc>
          <w:tcPr>
            <w:tcW w:w="6350" w:type="dxa"/>
          </w:tcPr>
          <w:p>
            <w:pPr>
              <w:pStyle w:val="0"/>
              <w:jc w:val="center"/>
            </w:pPr>
            <w:r>
              <w:rPr>
                <w:sz w:val="20"/>
              </w:rPr>
              <w:t xml:space="preserve">Акционерное общество "Семьянское"</w:t>
            </w:r>
          </w:p>
        </w:tc>
        <w:tc>
          <w:tcPr>
            <w:tcW w:w="2041" w:type="dxa"/>
          </w:tcPr>
          <w:p>
            <w:pPr>
              <w:pStyle w:val="0"/>
              <w:jc w:val="center"/>
            </w:pPr>
            <w:r>
              <w:rPr>
                <w:sz w:val="20"/>
              </w:rPr>
              <w:t xml:space="preserve">5211758995</w:t>
            </w:r>
          </w:p>
        </w:tc>
      </w:tr>
      <w:tr>
        <w:tc>
          <w:tcPr>
            <w:tcW w:w="660" w:type="dxa"/>
          </w:tcPr>
          <w:p>
            <w:pPr>
              <w:pStyle w:val="0"/>
              <w:jc w:val="center"/>
            </w:pPr>
            <w:r>
              <w:rPr>
                <w:sz w:val="20"/>
              </w:rPr>
              <w:t xml:space="preserve">15.</w:t>
            </w:r>
          </w:p>
        </w:tc>
        <w:tc>
          <w:tcPr>
            <w:tcW w:w="6350" w:type="dxa"/>
          </w:tcPr>
          <w:p>
            <w:pPr>
              <w:pStyle w:val="0"/>
              <w:jc w:val="center"/>
            </w:pPr>
            <w:r>
              <w:rPr>
                <w:sz w:val="20"/>
              </w:rPr>
              <w:t xml:space="preserve">Сельскохозяйственный производственный кооператив "Нижегородец"</w:t>
            </w:r>
          </w:p>
        </w:tc>
        <w:tc>
          <w:tcPr>
            <w:tcW w:w="2041" w:type="dxa"/>
          </w:tcPr>
          <w:p>
            <w:pPr>
              <w:pStyle w:val="0"/>
              <w:jc w:val="center"/>
            </w:pPr>
            <w:r>
              <w:rPr>
                <w:sz w:val="20"/>
              </w:rPr>
              <w:t xml:space="preserve">5215002208</w:t>
            </w:r>
          </w:p>
        </w:tc>
      </w:tr>
      <w:tr>
        <w:tc>
          <w:tcPr>
            <w:tcW w:w="660" w:type="dxa"/>
          </w:tcPr>
          <w:p>
            <w:pPr>
              <w:pStyle w:val="0"/>
              <w:jc w:val="center"/>
            </w:pPr>
            <w:r>
              <w:rPr>
                <w:sz w:val="20"/>
              </w:rPr>
              <w:t xml:space="preserve">16.</w:t>
            </w:r>
          </w:p>
        </w:tc>
        <w:tc>
          <w:tcPr>
            <w:tcW w:w="6350" w:type="dxa"/>
          </w:tcPr>
          <w:p>
            <w:pPr>
              <w:pStyle w:val="0"/>
              <w:jc w:val="center"/>
            </w:pPr>
            <w:r>
              <w:rPr>
                <w:sz w:val="20"/>
              </w:rPr>
              <w:t xml:space="preserve">Общество с ограниченной ответственностью "Ярд-Агро"</w:t>
            </w:r>
          </w:p>
        </w:tc>
        <w:tc>
          <w:tcPr>
            <w:tcW w:w="2041" w:type="dxa"/>
          </w:tcPr>
          <w:p>
            <w:pPr>
              <w:pStyle w:val="0"/>
              <w:jc w:val="center"/>
            </w:pPr>
            <w:r>
              <w:rPr>
                <w:sz w:val="20"/>
              </w:rPr>
              <w:t xml:space="preserve">5258148882</w:t>
            </w:r>
          </w:p>
        </w:tc>
      </w:tr>
      <w:tr>
        <w:tc>
          <w:tcPr>
            <w:tcW w:w="660" w:type="dxa"/>
          </w:tcPr>
          <w:p>
            <w:pPr>
              <w:pStyle w:val="0"/>
              <w:jc w:val="center"/>
            </w:pPr>
            <w:r>
              <w:rPr>
                <w:sz w:val="20"/>
              </w:rPr>
              <w:t xml:space="preserve">17.</w:t>
            </w:r>
          </w:p>
        </w:tc>
        <w:tc>
          <w:tcPr>
            <w:tcW w:w="6350" w:type="dxa"/>
          </w:tcPr>
          <w:p>
            <w:pPr>
              <w:pStyle w:val="0"/>
              <w:jc w:val="center"/>
            </w:pPr>
            <w:r>
              <w:rPr>
                <w:sz w:val="20"/>
              </w:rPr>
              <w:t xml:space="preserve">Акционерное общество "Березниковское"</w:t>
            </w:r>
          </w:p>
        </w:tc>
        <w:tc>
          <w:tcPr>
            <w:tcW w:w="2041" w:type="dxa"/>
          </w:tcPr>
          <w:p>
            <w:pPr>
              <w:pStyle w:val="0"/>
              <w:jc w:val="center"/>
            </w:pPr>
            <w:r>
              <w:rPr>
                <w:sz w:val="20"/>
              </w:rPr>
              <w:t xml:space="preserve">5215001324</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сельского хозяйства и продовольственных ресурсов Нижегородской области от 04.08.2023 N 220</w:t>
            <w:br/>
            <w:t>(ред. от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7&amp;n=308670&amp;dst=100006" TargetMode = "External"/><Relationship Id="rId9" Type="http://schemas.openxmlformats.org/officeDocument/2006/relationships/hyperlink" Target="https://login.consultant.ru/link/?req=doc&amp;base=LAW&amp;n=511241&amp;dst=7260" TargetMode = "External"/><Relationship Id="rId10" Type="http://schemas.openxmlformats.org/officeDocument/2006/relationships/hyperlink" Target="https://login.consultant.ru/link/?req=doc&amp;base=RLAW187&amp;n=265265&amp;dst=100005" TargetMode = "External"/><Relationship Id="rId11" Type="http://schemas.openxmlformats.org/officeDocument/2006/relationships/hyperlink" Target="https://login.consultant.ru/link/?req=doc&amp;base=RLAW187&amp;n=308670&amp;dst=100009" TargetMode = "External"/><Relationship Id="rId12" Type="http://schemas.openxmlformats.org/officeDocument/2006/relationships/hyperlink" Target="https://login.consultant.ru/link/?req=doc&amp;base=RLAW187&amp;n=308670&amp;dst=100011" TargetMode = "External"/><Relationship Id="rId13" Type="http://schemas.openxmlformats.org/officeDocument/2006/relationships/hyperlink" Target="https://login.consultant.ru/link/?req=doc&amp;base=LAW&amp;n=490805&amp;dst=100041" TargetMode = "External"/><Relationship Id="rId14" Type="http://schemas.openxmlformats.org/officeDocument/2006/relationships/hyperlink" Target="https://login.consultant.ru/link/?req=doc&amp;base=RLAW187&amp;n=290414&amp;dst=149675" TargetMode = "External"/><Relationship Id="rId15" Type="http://schemas.openxmlformats.org/officeDocument/2006/relationships/hyperlink" Target="https://login.consultant.ru/link/?req=doc&amp;base=LAW&amp;n=511241&amp;dst=3704" TargetMode = "External"/><Relationship Id="rId16" Type="http://schemas.openxmlformats.org/officeDocument/2006/relationships/hyperlink" Target="https://login.consultant.ru/link/?req=doc&amp;base=LAW&amp;n=511241&amp;dst=3722" TargetMode = "External"/><Relationship Id="rId17" Type="http://schemas.openxmlformats.org/officeDocument/2006/relationships/hyperlink" Target="https://login.consultant.ru/link/?req=doc&amp;base=LAW&amp;n=121087&amp;dst=100142" TargetMode = "External"/><Relationship Id="rId18" Type="http://schemas.openxmlformats.org/officeDocument/2006/relationships/hyperlink" Target="https://login.consultant.ru/link/?req=doc&amp;base=LAW&amp;n=503698" TargetMode = "External"/><Relationship Id="rId19" Type="http://schemas.openxmlformats.org/officeDocument/2006/relationships/hyperlink" Target="https://login.consultant.ru/link/?req=doc&amp;base=LAW&amp;n=508490&amp;dst=217" TargetMode = "External"/><Relationship Id="rId20" Type="http://schemas.openxmlformats.org/officeDocument/2006/relationships/hyperlink" Target="https://login.consultant.ru/link/?req=doc&amp;base=LAW&amp;n=508490&amp;dst=217" TargetMode = "External"/><Relationship Id="rId21" Type="http://schemas.openxmlformats.org/officeDocument/2006/relationships/hyperlink" Target="https://login.consultant.ru/link/?req=doc&amp;base=LAW&amp;n=511356&amp;dst=100104" TargetMode = "External"/><Relationship Id="rId22" Type="http://schemas.openxmlformats.org/officeDocument/2006/relationships/hyperlink" Target="https://login.consultant.ru/link/?req=doc&amp;base=RLAW187&amp;n=308328&amp;dst=100012" TargetMode = "External"/><Relationship Id="rId23" Type="http://schemas.openxmlformats.org/officeDocument/2006/relationships/hyperlink" Target="https://login.consultant.ru/link/?req=doc&amp;base=LAW&amp;n=511241&amp;dst=3704" TargetMode = "External"/><Relationship Id="rId24" Type="http://schemas.openxmlformats.org/officeDocument/2006/relationships/hyperlink" Target="https://login.consultant.ru/link/?req=doc&amp;base=LAW&amp;n=511241&amp;dst=3722" TargetMode = "External"/><Relationship Id="rId25" Type="http://schemas.openxmlformats.org/officeDocument/2006/relationships/hyperlink" Target="https://login.consultant.ru/link/?req=doc&amp;base=LAW&amp;n=50958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сельского хозяйства и продовольственных ресурсов Нижегородской области от 04.08.2023 N 220
(ред. от 17.12.2024)
"Об утверждении Порядка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
(Включен в Реестр нормативных актов органов исполнительной власти Нижегородской области 28.08.2023 N 23578-302-220)</dc:title>
  <dcterms:created xsi:type="dcterms:W3CDTF">2025-09-30T08:09:18Z</dcterms:created>
</cp:coreProperties>
</file>