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4A" w:rsidRDefault="00187A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87A4A" w:rsidRDefault="00187A4A">
      <w:pPr>
        <w:pStyle w:val="ConsPlusNormal"/>
        <w:ind w:firstLine="540"/>
        <w:jc w:val="both"/>
        <w:outlineLvl w:val="0"/>
      </w:pPr>
    </w:p>
    <w:p w:rsidR="00187A4A" w:rsidRDefault="00187A4A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16 февраля 2021 года N 16815-302-020</w:t>
      </w:r>
    </w:p>
    <w:p w:rsidR="00187A4A" w:rsidRDefault="00187A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187A4A" w:rsidRDefault="00187A4A">
      <w:pPr>
        <w:pStyle w:val="ConsPlusTitle"/>
        <w:jc w:val="center"/>
      </w:pPr>
      <w:r>
        <w:t>РЕСУРСОВ НИЖЕГОРОДСКОЙ ОБЛАСТИ</w:t>
      </w:r>
    </w:p>
    <w:p w:rsidR="00187A4A" w:rsidRDefault="00187A4A">
      <w:pPr>
        <w:pStyle w:val="ConsPlusTitle"/>
        <w:jc w:val="center"/>
      </w:pPr>
    </w:p>
    <w:p w:rsidR="00187A4A" w:rsidRDefault="00187A4A">
      <w:pPr>
        <w:pStyle w:val="ConsPlusTitle"/>
        <w:jc w:val="center"/>
      </w:pPr>
      <w:r>
        <w:t>ПРИКАЗ</w:t>
      </w:r>
    </w:p>
    <w:p w:rsidR="00187A4A" w:rsidRDefault="00187A4A">
      <w:pPr>
        <w:pStyle w:val="ConsPlusTitle"/>
        <w:jc w:val="center"/>
      </w:pPr>
      <w:r>
        <w:t>от 25 января 2021 г. N 20</w:t>
      </w:r>
    </w:p>
    <w:p w:rsidR="00187A4A" w:rsidRDefault="00187A4A">
      <w:pPr>
        <w:pStyle w:val="ConsPlusTitle"/>
        <w:ind w:firstLine="540"/>
        <w:jc w:val="both"/>
      </w:pPr>
    </w:p>
    <w:p w:rsidR="00187A4A" w:rsidRDefault="00187A4A">
      <w:pPr>
        <w:pStyle w:val="ConsPlusTitle"/>
        <w:jc w:val="center"/>
      </w:pPr>
      <w:r>
        <w:t>ОБ УТВЕРЖДЕНИИ ПОРЯДКА СОСТАВЛЕНИЯ И УТВЕРЖДЕНИЯ ПЛАНА</w:t>
      </w:r>
    </w:p>
    <w:p w:rsidR="00187A4A" w:rsidRDefault="00187A4A">
      <w:pPr>
        <w:pStyle w:val="ConsPlusTitle"/>
        <w:jc w:val="center"/>
      </w:pPr>
      <w:r>
        <w:t>ФИНАНСОВО-ХОЗЯЙСТВЕННОЙ ДЕЯТЕЛЬНОСТИ ГОСУДАРСТВЕННЫХ</w:t>
      </w:r>
    </w:p>
    <w:p w:rsidR="00187A4A" w:rsidRDefault="00187A4A">
      <w:pPr>
        <w:pStyle w:val="ConsPlusTitle"/>
        <w:jc w:val="center"/>
      </w:pPr>
      <w:r>
        <w:t>БЮДЖЕТНЫХ УЧРЕЖДЕНИЙ НИЖЕГОРОДСКОЙ ОБЛАСТИ, НАХОДЯЩИХСЯ</w:t>
      </w:r>
    </w:p>
    <w:p w:rsidR="00187A4A" w:rsidRDefault="00187A4A">
      <w:pPr>
        <w:pStyle w:val="ConsPlusTitle"/>
        <w:jc w:val="center"/>
      </w:pPr>
      <w:r>
        <w:t>В ВЕДЕНИИ МИНИСТЕРСТВА СЕЛЬСКОГО ХОЗЯЙСТВА</w:t>
      </w:r>
    </w:p>
    <w:p w:rsidR="00187A4A" w:rsidRDefault="00187A4A">
      <w:pPr>
        <w:pStyle w:val="ConsPlusTitle"/>
        <w:jc w:val="center"/>
      </w:pPr>
      <w:r>
        <w:t>И ПРОДОВОЛЬСТВЕННЫХ РЕСУРСОВ НИЖЕГОРОДСКОЙ ОБЛАСТИ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6 пункта 3.3</w:t>
        </w:r>
      </w:hyperlink>
      <w:r>
        <w:t xml:space="preserve"> Федерального закона от 12 января 1996 г. N 7-ФЗ "О некоммерческих организациях",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31 августа 2018 г. N 186н "О Требованиях к составлению и утверждению плана финансово-хозяйственной деятельности государственного (муниципального) учреждения" приказываю: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составления и утверждения плана финансово-хозяйственной деятельности государственных бюджетных учреждений Нижегородской области, находящихся в ведении министерства сельского хозяйства и продовольственных ресурсов Нижегородской области (далее - Учреждения).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2. Признать утратившим силу:</w:t>
      </w:r>
    </w:p>
    <w:p w:rsidR="00187A4A" w:rsidRDefault="00187A4A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23 сентября 2011 г. N 130 "Об утверждении Порядка составления и утверждения плана финансово-хозяйственной деятельности государственных учреждений Нижегородской области, находящихся в ведении министерства сельского хозяйства и продовольственных ресурсов Нижегородской области".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3. Настоящий приказ вступает в силу со дня подписания и применяется для составления и утверждения планов финансово-хозяйственной деятельности Учреждений начиная с 2021 года.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jc w:val="right"/>
      </w:pPr>
      <w:r>
        <w:t>Министр</w:t>
      </w:r>
    </w:p>
    <w:p w:rsidR="00187A4A" w:rsidRDefault="00187A4A">
      <w:pPr>
        <w:pStyle w:val="ConsPlusNormal"/>
        <w:jc w:val="right"/>
      </w:pPr>
      <w:r>
        <w:t>Н.К.ДЕНИСОВ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jc w:val="right"/>
        <w:outlineLvl w:val="0"/>
      </w:pPr>
      <w:r>
        <w:t>Утвержден</w:t>
      </w:r>
    </w:p>
    <w:p w:rsidR="00187A4A" w:rsidRDefault="00187A4A">
      <w:pPr>
        <w:pStyle w:val="ConsPlusNormal"/>
        <w:jc w:val="right"/>
      </w:pPr>
      <w:r>
        <w:t>приказом министерства сельского</w:t>
      </w:r>
    </w:p>
    <w:p w:rsidR="00187A4A" w:rsidRDefault="00187A4A">
      <w:pPr>
        <w:pStyle w:val="ConsPlusNormal"/>
        <w:jc w:val="right"/>
      </w:pPr>
      <w:r>
        <w:t>хозяйства и продовольственных</w:t>
      </w:r>
    </w:p>
    <w:p w:rsidR="00187A4A" w:rsidRDefault="00187A4A">
      <w:pPr>
        <w:pStyle w:val="ConsPlusNormal"/>
        <w:jc w:val="right"/>
      </w:pPr>
      <w:r>
        <w:t>ресурсов Нижегородской области</w:t>
      </w:r>
    </w:p>
    <w:p w:rsidR="00187A4A" w:rsidRDefault="00187A4A">
      <w:pPr>
        <w:pStyle w:val="ConsPlusNormal"/>
        <w:jc w:val="right"/>
      </w:pPr>
      <w:r>
        <w:t>от 25 января 2021 г. N 20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Title"/>
        <w:jc w:val="center"/>
      </w:pPr>
      <w:bookmarkStart w:id="0" w:name="P35"/>
      <w:bookmarkEnd w:id="0"/>
      <w:r>
        <w:t>ПОРЯДОК</w:t>
      </w:r>
    </w:p>
    <w:p w:rsidR="00187A4A" w:rsidRDefault="00187A4A">
      <w:pPr>
        <w:pStyle w:val="ConsPlusTitle"/>
        <w:jc w:val="center"/>
      </w:pPr>
      <w:r>
        <w:t>СОСТАВЛЕНИЯ И УТВЕРЖДЕНИЯ ПЛАНА ФИНАНСОВО-ХОЗЯЙСТВЕННОЙ</w:t>
      </w:r>
    </w:p>
    <w:p w:rsidR="00187A4A" w:rsidRDefault="00187A4A">
      <w:pPr>
        <w:pStyle w:val="ConsPlusTitle"/>
        <w:jc w:val="center"/>
      </w:pPr>
      <w:r>
        <w:lastRenderedPageBreak/>
        <w:t>ДЕЯТЕЛЬНОСТИ ГОСУДАРСТВЕННЫХ БЮДЖЕТНЫХ УЧРЕЖДЕНИЙ</w:t>
      </w:r>
    </w:p>
    <w:p w:rsidR="00187A4A" w:rsidRDefault="00187A4A">
      <w:pPr>
        <w:pStyle w:val="ConsPlusTitle"/>
        <w:jc w:val="center"/>
      </w:pPr>
      <w:r>
        <w:t>НИЖЕГОРОДСКОЙ ОБЛАСТИ, НАХОДЯЩИХСЯ В ВЕДЕНИИ МИНИСТЕРСТВА</w:t>
      </w:r>
    </w:p>
    <w:p w:rsidR="00187A4A" w:rsidRDefault="00187A4A">
      <w:pPr>
        <w:pStyle w:val="ConsPlusTitle"/>
        <w:jc w:val="center"/>
      </w:pPr>
      <w:r>
        <w:t>СЕЛЬСКОГО ХОЗЯЙСТВА И ПРОДОВОЛЬСТВЕННЫХ РЕСУРСОВ</w:t>
      </w:r>
    </w:p>
    <w:p w:rsidR="00187A4A" w:rsidRDefault="00187A4A">
      <w:pPr>
        <w:pStyle w:val="ConsPlusTitle"/>
        <w:jc w:val="center"/>
      </w:pPr>
      <w:r>
        <w:t>НИЖЕГОРОДСКОЙ ОБЛАСТИ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Title"/>
        <w:jc w:val="center"/>
        <w:outlineLvl w:val="1"/>
      </w:pPr>
      <w:r>
        <w:t>1. Общие положения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  <w:r>
        <w:t xml:space="preserve">1.1. Настоящий Порядок составления и ведения плана финансово-хозяйственной деятельности (далее - Порядок, План) разработан в соответствии с </w:t>
      </w:r>
      <w:hyperlink r:id="rId8" w:history="1">
        <w:r>
          <w:rPr>
            <w:color w:val="0000FF"/>
          </w:rPr>
          <w:t>Требованиями</w:t>
        </w:r>
      </w:hyperlink>
      <w:r>
        <w:t xml:space="preserve"> к составлению и утверждению Плана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31 августа 2018 г. N 186н (далее - Требования), и распространяется на государственные бюджетные учреждения Нижегородской области, находящиеся в ведении министерства сельского хозяйства и продовольственных ресурсов Нижегородской области (далее - Министерство, Учреждения).</w:t>
      </w:r>
    </w:p>
    <w:p w:rsidR="00187A4A" w:rsidRDefault="00187A4A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1.2. План составляется и утверждается на текущий финансовый год в случае, если закон Нижегородской области об областном бюджете утверждается на один финансовый год, или на текущий финансовый год и плановый период, если закон Нижегородской области об областном бюджете утверждается на очередной финансовый год и на плановый период и действует в течение срока действия закона о бюджете.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 xml:space="preserve">При принятии Учреждением обязательств, срок исполнения которых по условиям договоров (контрактов) превышает срок, предусмотренный </w:t>
      </w:r>
      <w:hyperlink w:anchor="P45" w:history="1">
        <w:r>
          <w:rPr>
            <w:color w:val="0000FF"/>
          </w:rPr>
          <w:t>абзацем первым</w:t>
        </w:r>
      </w:hyperlink>
      <w:r>
        <w:t xml:space="preserve"> настоящего пункта, показатели Плана по решению Министерства утверждаются на период, превышающий указанный срок.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1.3. План составляется по кассовому методу, в рублях с точностью до двух знаков после запятой.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1.4. Формирование Плана осуществляется в автоматизированной информационной системе "АЦК Планирование".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Title"/>
        <w:jc w:val="center"/>
        <w:outlineLvl w:val="1"/>
      </w:pPr>
      <w:r>
        <w:t>2. Сроки и порядок составления проекта Плана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  <w:r>
        <w:t>2.1. При составлении Плана (внесении изменений в него) устанавливается (уточняется) плановый объем поступлений и выплат денежных средств.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 xml:space="preserve">2.2. Проект Плана составляется Учреждением по форме согласно </w:t>
      </w:r>
      <w:proofErr w:type="gramStart"/>
      <w:r>
        <w:t>приложению</w:t>
      </w:r>
      <w:proofErr w:type="gramEnd"/>
      <w:r>
        <w:t xml:space="preserve"> к Требованиям при формировании проекта закона об областном бюджете в течение 5 рабочих дней со дня доведения Учреждению Министерством информации о планируемых к предоставлению объемах средств областного бюджета на очередной финансовый год и на плановый период.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2.3. К проекту Плана Учреждение формирует обоснования (расчеты) плановых показателей поступлений и выплат.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Плановые показатели по поступлениям и по выплатам, включаемые в План, формируются Учреждением в соответствии с Требованиями.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2.4. Учреждение составляет проект Плана: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1) с учетом планируемых объемов поступлений: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а) субсидии на финансовое обеспечение выполнения государственного задания;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 xml:space="preserve">б) субсидий, предусмотренных </w:t>
      </w:r>
      <w:hyperlink r:id="rId9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(далее - целевая субсидия), и целей их предоставления;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lastRenderedPageBreak/>
        <w:t>в) субсидий на осуществление капитальных вложений в объекты капитального строительства государственной собственности или приобретение объектов недвижимости в государственную собственность (далее - субсидия на осуществление капитальных вложений);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г) доходов от иной приносящей доход деятельности, предусмотренной уставом Учреждения;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2) с учетом планируемых объемов выплат, связанных с осуществлением деятельности, предусмотренной уставом Учреждения.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2.5.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а) планируемых поступлений: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от доходов - по коду аналитической группы подвида доходов бюджетов классификации доходов бюджетов;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от возврата дебиторской задолженности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б) планируемых выплат: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расходам - по кодам видов расходов классификации расходов бюджетов;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возврату в бюджет остатков субсидий прошлых лет - по коду аналитической группы вида источников финансирования дефицитов бюджетов классификации источников финансирования дефицитов бюджетов;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уплате налогов, объектом налогообложения которых являются доходы (прибыль) Учреждения, - по коду аналитической группы подвида доходов бюджетов классификации доходов бюджетов.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План формируется с дополнительной детализацией по статьям классификации операций сектора государственного управления.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2.6. Обоснования (расчеты) плановых показателей по поступлениям и выплатам формируются раздельно по источникам их финансового обеспечения.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Title"/>
        <w:jc w:val="center"/>
        <w:outlineLvl w:val="1"/>
      </w:pPr>
      <w:r>
        <w:t>3. Сроки и порядок утверждения Плана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  <w:r>
        <w:t>3.1. Министерство осуществляет рассмотрение проекта Плана на предмет соответствия бюджетному законодательству Российской Федерации и настоящему Порядку.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3.2. В случае наличия замечаний к проекту Плана и (или) обоснованиям (расчетам) плановых показателей не позднее 10 рабочих дней со дня получения проекта Плана Министерство направляет проект Плана Учреждению с обоснованием причин возврата.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3.3. Учреждение в течение 2 рабочих дней вносит изменения в проект Плана в соответствии с полученными замечаниями и направляет уточненный проект Плана в Министерство.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3.4. Министерство рассматривает и принимает уточненный проект Плана в течение 3 рабочих дней после получения уточненного проекта Плана.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 xml:space="preserve">3.5. После принятия в установленном порядке закона об областном бюджете на очередной финансовый год и плановый период проект Плана при необходимости уточняется Учреждением на </w:t>
      </w:r>
      <w:r>
        <w:lastRenderedPageBreak/>
        <w:t>основании уточненной информации о планируемых к предоставлению из областного бюджета объемах субсидий.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Уточнение показателей Плана, связанных с выполнением государственного задания, осуществляется с учетом показателей государственного задания и размера субсидий на выполнение государственного задания.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3.6. Уточненный проект Плана подлежит рассмотрению, согласованию и принятию в течение 10 рабочих дней с даты утверждения закона об областном бюджете на очередной финансовый год и плановый период. Министерство осуществляет согласование Плана в автоматизированной информационной системе "АЦК Планирование" и путем направления Учреждению соответствующего письма за подписью руководителя Министерства или уполномоченного им лица.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3.7. План утверждается уполномоченным лицом Учреждения и подлежит размещению на официальном сайте о государственных (муниципальных) учреждениях и их обособленных подразделениях в информационно-телекоммуникационной сети Интернет в порядке, установленном Министерством финансов Российской Федерации.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Title"/>
        <w:jc w:val="center"/>
        <w:outlineLvl w:val="1"/>
      </w:pPr>
      <w:r>
        <w:t>4. Порядок внесения изменений в План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  <w:r>
        <w:t>4.1. Учреждение осуществляет ведение Плана путем внесения изменений в показатели Плана текущего финансового года, очередного года и планового периода.</w:t>
      </w:r>
    </w:p>
    <w:p w:rsidR="00187A4A" w:rsidRDefault="00187A4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4.2. Внесение изменений в показатели Плана осуществляется путем формирования в автоматизированной информационной системе "АЦК Планирование" электронного документа "План ФХД", созданного путем изменения ранее утвержденного Плана.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Учреждение вносит изменения в показатели Плана в автоматизированной информационной системе "АЦК Планирование", доводит до статуса "согласование с учредителем" и направляет в министерство пакет документов, содержащий обоснование необходимости внесения изменений и расчеты, подписанные руководителем Учреждения или уполномоченным им лицом.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4.3. Изменение показателей Плана в течение финансового года осуществляется в том числе в связи с: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б) изменением объемов планируемых поступлений, а также объемов и (или) направлений выплат, в том числе в связи с: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изменением объема предоставляемых субсидий на финансовое обеспечение государственного (муниципального) задания, целевых субсидий, субсидий на осуществление капитальных вложений;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изменением объема услуг (работ), предоставляемых за плату;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изменением объемов безвозмездных поступлений от юридических и физических лиц;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поступлением средств дебиторской задолженности прошлых лет, не включенных в показатели Плана при его составлении;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увеличением выплат по неисполненным обязательствам прошлых лет, не включенных в показатели Плана при его составлении;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lastRenderedPageBreak/>
        <w:t>в) проведением реорганизации учреждения.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4.4. 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4.5. Внесение изменений в показатели Плана по поступлениям и (или) выплатам должно формироваться путем внесения изменений в соответствующие обоснования (расчеты) плановых показателей поступлений и выплат, сформированные при составлении Плана, за исключением случаев, предусмотренных пунктом 4.6 настоящего Порядка.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4.6. Учреждение вправе осуществлять внесение изменений в показатели Плана без внесения изменений в соответствующие обоснования (расчеты) плановых показателей поступлений и выплат исходя из информации, содержащейся в документах, являющихся основанием для поступления денежных средств или осуществления выплат, ранее не включенных в показатели Плана: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а) при поступлении в текущем финансовом году: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сумм возврата дебиторской задолженности прошлых лет;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сумм, поступивших в возмещение ущерба, недостач, выявленных в текущем финансовом году;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сумм, поступивших по решению суда или на основании исполнительных документов;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б) при необходимости осуществления выплат: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возврату в бюджет бюджетной системы Российской Федерации субсидий, полученных в прошлых отчетных периодах;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возмещению ущерба;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решению суда, на основании исполнительных документов;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>по уплате штрафов, в том числе административных.</w:t>
      </w:r>
    </w:p>
    <w:p w:rsidR="00187A4A" w:rsidRDefault="00187A4A">
      <w:pPr>
        <w:pStyle w:val="ConsPlusNormal"/>
        <w:spacing w:before="220"/>
        <w:ind w:firstLine="540"/>
        <w:jc w:val="both"/>
      </w:pPr>
      <w:r>
        <w:t xml:space="preserve">4.7. Министерство осуществляет рассмотрение и согласование изменений в План в течение 5 рабочих дней со дня поступления документов, предусмотренных </w:t>
      </w:r>
      <w:hyperlink w:anchor="P88" w:history="1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ind w:firstLine="540"/>
        <w:jc w:val="both"/>
      </w:pPr>
    </w:p>
    <w:p w:rsidR="00187A4A" w:rsidRDefault="00187A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541" w:rsidRDefault="002E0541">
      <w:bookmarkStart w:id="3" w:name="_GoBack"/>
      <w:bookmarkEnd w:id="3"/>
    </w:p>
    <w:sectPr w:rsidR="002E0541" w:rsidSect="0026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4A"/>
    <w:rsid w:val="00187A4A"/>
    <w:rsid w:val="002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D9841-1C16-4269-BB19-91669A3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7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7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64C263B0B488307A059470B7FDF65F7BC08D8AC1E61C80C3CA1EAFADDB0BA8FC42338CD952D28FA3E501166D41A38603F031D5C382E24W1a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564C263B0B488307A0474A1D138060F3BE50DDAB1C689B5263FAB7ADD4BAEDC88B7A6889C02028FA2B05423C831738W6a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64C263B0B488307A059470B7FDF65F7BC08D8AC1E61C80C3CA1EAFADDB0BA8FC42338CD952D28FA3E501166D41A38603F031D5C382E24W1a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1564C263B0B488307A059470B7FDF65F7BD0FD4AA1E61C80C3CA1EAFADDB0BA9DC47B34CF91332BFC2B064020W8a0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564C263B0B488307A059470B7FDF65F0B50FD7AF1861C80C3CA1EAFADDB0BA8FC4233ACC912B21AA6440152F83132465231C1D4238W2a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2021-12-24T07:26:00Z</dcterms:created>
  <dcterms:modified xsi:type="dcterms:W3CDTF">2021-12-24T07:26:00Z</dcterms:modified>
</cp:coreProperties>
</file>